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0A9CE" w14:textId="2274197D" w:rsidR="00C440A4" w:rsidRPr="00C440A4" w:rsidRDefault="00C440A4" w:rsidP="00C440A4">
      <w:pPr>
        <w:tabs>
          <w:tab w:val="center" w:pos="4536"/>
          <w:tab w:val="right" w:pos="9637"/>
        </w:tabs>
        <w:spacing w:after="0"/>
        <w:ind w:right="2"/>
        <w:rPr>
          <w:rFonts w:ascii="Arial" w:eastAsia="Batang" w:hAnsi="Arial" w:cs="Arial"/>
          <w:b/>
          <w:bCs/>
          <w:sz w:val="28"/>
          <w:szCs w:val="24"/>
        </w:rPr>
      </w:pPr>
      <w:r w:rsidRPr="00C440A4">
        <w:rPr>
          <w:rFonts w:ascii="Arial" w:eastAsia="Batang" w:hAnsi="Arial" w:cs="Arial"/>
          <w:b/>
          <w:bCs/>
          <w:sz w:val="28"/>
          <w:szCs w:val="24"/>
        </w:rPr>
        <w:t>3GPP TSG RAN WG1 #104-e</w:t>
      </w:r>
      <w:r w:rsidRPr="00C440A4">
        <w:rPr>
          <w:rFonts w:ascii="Arial" w:eastAsia="Batang" w:hAnsi="Arial" w:cs="Arial"/>
          <w:b/>
          <w:bCs/>
          <w:sz w:val="28"/>
          <w:szCs w:val="24"/>
        </w:rPr>
        <w:tab/>
      </w:r>
      <w:r w:rsidRPr="00C440A4">
        <w:rPr>
          <w:rFonts w:ascii="Arial" w:eastAsia="Batang" w:hAnsi="Arial" w:cs="Arial"/>
          <w:b/>
          <w:bCs/>
          <w:sz w:val="28"/>
          <w:szCs w:val="24"/>
        </w:rPr>
        <w:tab/>
        <w:t>R1-21</w:t>
      </w:r>
      <w:r>
        <w:rPr>
          <w:rFonts w:ascii="Arial" w:eastAsia="Batang" w:hAnsi="Arial" w:cs="Arial"/>
          <w:b/>
          <w:bCs/>
          <w:sz w:val="28"/>
          <w:szCs w:val="24"/>
        </w:rPr>
        <w:t>0</w:t>
      </w:r>
      <w:r w:rsidR="006A247E">
        <w:rPr>
          <w:rFonts w:ascii="Arial" w:eastAsia="Batang" w:hAnsi="Arial" w:cs="Arial"/>
          <w:b/>
          <w:bCs/>
          <w:sz w:val="28"/>
          <w:szCs w:val="24"/>
        </w:rPr>
        <w:t>096</w:t>
      </w:r>
      <w:r w:rsidR="00302B6D">
        <w:rPr>
          <w:rFonts w:ascii="Arial" w:eastAsia="Batang" w:hAnsi="Arial" w:cs="Arial"/>
          <w:b/>
          <w:bCs/>
          <w:sz w:val="28"/>
          <w:szCs w:val="24"/>
        </w:rPr>
        <w:t>6</w:t>
      </w:r>
    </w:p>
    <w:p w14:paraId="05325579" w14:textId="30FF1223" w:rsidR="00526FC2" w:rsidRPr="00F754EA" w:rsidRDefault="00C440A4" w:rsidP="00C440A4">
      <w:pPr>
        <w:tabs>
          <w:tab w:val="center" w:pos="4536"/>
          <w:tab w:val="right" w:pos="9072"/>
        </w:tabs>
        <w:rPr>
          <w:rFonts w:ascii="Arial" w:hAnsi="Arial" w:cs="Arial"/>
          <w:b/>
          <w:bCs/>
          <w:sz w:val="28"/>
          <w:szCs w:val="24"/>
          <w:lang w:eastAsia="zh-TW"/>
        </w:rPr>
      </w:pPr>
      <w:r w:rsidRPr="00C440A4">
        <w:rPr>
          <w:rFonts w:ascii="Arial" w:eastAsia="MS Mincho" w:hAnsi="Arial" w:cs="Arial"/>
          <w:b/>
          <w:bCs/>
          <w:sz w:val="28"/>
          <w:szCs w:val="24"/>
          <w:lang w:eastAsia="ja-JP"/>
        </w:rPr>
        <w:t>e-Meeting, January 25</w:t>
      </w:r>
      <w:r w:rsidRPr="00C440A4">
        <w:rPr>
          <w:rFonts w:ascii="Arial" w:eastAsia="MS Mincho" w:hAnsi="Arial" w:cs="Arial"/>
          <w:b/>
          <w:bCs/>
          <w:sz w:val="28"/>
          <w:szCs w:val="24"/>
          <w:vertAlign w:val="superscript"/>
          <w:lang w:eastAsia="ja-JP"/>
        </w:rPr>
        <w:t>th</w:t>
      </w:r>
      <w:r w:rsidRPr="00C440A4">
        <w:rPr>
          <w:rFonts w:ascii="Arial" w:eastAsia="MS Mincho" w:hAnsi="Arial" w:cs="Arial"/>
          <w:b/>
          <w:bCs/>
          <w:sz w:val="28"/>
          <w:szCs w:val="24"/>
          <w:lang w:eastAsia="ja-JP"/>
        </w:rPr>
        <w:t xml:space="preserve"> – February 5</w:t>
      </w:r>
      <w:r w:rsidRPr="00C440A4">
        <w:rPr>
          <w:rFonts w:ascii="Arial" w:eastAsia="MS Mincho" w:hAnsi="Arial" w:cs="Arial"/>
          <w:b/>
          <w:bCs/>
          <w:sz w:val="28"/>
          <w:szCs w:val="24"/>
          <w:vertAlign w:val="superscript"/>
          <w:lang w:eastAsia="ja-JP"/>
        </w:rPr>
        <w:t>th</w:t>
      </w:r>
      <w:r w:rsidRPr="00C440A4">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41304539"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w:t>
      </w:r>
      <w:r w:rsidR="00302B6D">
        <w:rPr>
          <w:rFonts w:ascii="Arial" w:hAnsi="Arial" w:cs="Arial"/>
          <w:b/>
          <w:sz w:val="24"/>
          <w:szCs w:val="24"/>
          <w:lang w:val="en-US" w:eastAsia="zh-TW"/>
        </w:rPr>
        <w:t>2</w:t>
      </w:r>
    </w:p>
    <w:p w14:paraId="5885521D" w14:textId="52CB70F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r w:rsidR="00EA1C97">
        <w:rPr>
          <w:rFonts w:ascii="Arial" w:hAnsi="Arial" w:cs="Arial"/>
          <w:b/>
          <w:bCs/>
          <w:sz w:val="24"/>
          <w:szCs w:val="24"/>
          <w:lang w:val="en-US"/>
        </w:rPr>
        <w:t>, FGI</w:t>
      </w:r>
    </w:p>
    <w:p w14:paraId="0DAC0931" w14:textId="5682DDF7"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302B6D" w:rsidRPr="00302B6D">
        <w:rPr>
          <w:rFonts w:ascii="Arial" w:hAnsi="Arial" w:cs="Arial"/>
          <w:b/>
          <w:sz w:val="24"/>
          <w:szCs w:val="24"/>
          <w:lang w:eastAsia="zh-TW"/>
        </w:rPr>
        <w:t>Discussion of enhancements on Multi-TRP inter-cell operation</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4BBABE37" w14:textId="13C8B521" w:rsidR="00EB43CD" w:rsidRDefault="00EB43CD" w:rsidP="00C24936">
      <w:pPr>
        <w:pStyle w:val="BodyText"/>
        <w:spacing w:beforeLines="50" w:before="120" w:after="240" w:line="276" w:lineRule="auto"/>
        <w:jc w:val="both"/>
        <w:rPr>
          <w:sz w:val="22"/>
          <w:lang w:val="en-GB"/>
        </w:rPr>
      </w:pPr>
      <w:r>
        <w:rPr>
          <w:sz w:val="22"/>
          <w:lang w:val="en-GB"/>
        </w:rPr>
        <w:t xml:space="preserve">From FeMIMO WID [1], below description has been made as target for Multi-TRP inter-cell operation. </w:t>
      </w:r>
    </w:p>
    <w:tbl>
      <w:tblPr>
        <w:tblStyle w:val="TableGrid"/>
        <w:tblW w:w="0" w:type="auto"/>
        <w:tblLook w:val="04A0" w:firstRow="1" w:lastRow="0" w:firstColumn="1" w:lastColumn="0" w:noHBand="0" w:noVBand="1"/>
      </w:tblPr>
      <w:tblGrid>
        <w:gridCol w:w="9629"/>
      </w:tblGrid>
      <w:tr w:rsidR="00EB43CD" w14:paraId="327D4866" w14:textId="77777777" w:rsidTr="00EB43CD">
        <w:tc>
          <w:tcPr>
            <w:tcW w:w="9629" w:type="dxa"/>
          </w:tcPr>
          <w:p w14:paraId="3E119160" w14:textId="77777777" w:rsidR="00EB43CD" w:rsidRDefault="00EB43CD" w:rsidP="00C24936">
            <w:pPr>
              <w:pStyle w:val="BodyText"/>
              <w:spacing w:beforeLines="50" w:before="120" w:after="240" w:line="276" w:lineRule="auto"/>
              <w:jc w:val="both"/>
              <w:rPr>
                <w:sz w:val="22"/>
                <w:lang w:val="en-GB"/>
              </w:rPr>
            </w:pPr>
            <w:r>
              <w:rPr>
                <w:rFonts w:hint="eastAsia"/>
                <w:sz w:val="22"/>
                <w:lang w:val="en-GB"/>
              </w:rPr>
              <w:t>[</w:t>
            </w:r>
            <w:r>
              <w:rPr>
                <w:sz w:val="22"/>
                <w:lang w:val="en-GB"/>
              </w:rPr>
              <w:t>…]</w:t>
            </w:r>
          </w:p>
          <w:p w14:paraId="38FC6ADB" w14:textId="77777777" w:rsidR="00EB43CD" w:rsidRPr="00EB43CD" w:rsidRDefault="00EB43CD" w:rsidP="00EB43CD">
            <w:pPr>
              <w:numPr>
                <w:ilvl w:val="0"/>
                <w:numId w:val="14"/>
              </w:numPr>
              <w:overflowPunct w:val="0"/>
              <w:autoSpaceDE w:val="0"/>
              <w:autoSpaceDN w:val="0"/>
              <w:adjustRightInd w:val="0"/>
              <w:spacing w:after="0"/>
              <w:ind w:left="738"/>
              <w:jc w:val="both"/>
              <w:textAlignment w:val="baseline"/>
              <w:rPr>
                <w:rFonts w:eastAsia="Malgun Gothic"/>
              </w:rPr>
            </w:pPr>
            <w:r w:rsidRPr="00EB43CD">
              <w:rPr>
                <w:rFonts w:eastAsia="Malgun Gothic"/>
              </w:rPr>
              <w:t>Enhancement on the support for multi-TRP deployment, targeting both FR1 and FR2:</w:t>
            </w:r>
          </w:p>
          <w:p w14:paraId="469C38F0" w14:textId="77777777" w:rsidR="00EB43CD" w:rsidRPr="00EB43CD" w:rsidRDefault="00EB43CD" w:rsidP="00EB43CD">
            <w:pPr>
              <w:numPr>
                <w:ilvl w:val="1"/>
                <w:numId w:val="14"/>
              </w:numPr>
              <w:overflowPunct w:val="0"/>
              <w:autoSpaceDE w:val="0"/>
              <w:autoSpaceDN w:val="0"/>
              <w:adjustRightInd w:val="0"/>
              <w:spacing w:after="0"/>
              <w:ind w:left="1440"/>
              <w:jc w:val="both"/>
              <w:textAlignment w:val="baseline"/>
              <w:rPr>
                <w:rFonts w:eastAsia="Malgun Gothic"/>
              </w:rPr>
            </w:pPr>
            <w:r w:rsidRPr="00EB43CD">
              <w:rPr>
                <w:rFonts w:eastAsia="Malgun Gothic"/>
              </w:rPr>
              <w:t xml:space="preserve">Identify and specify features to improve reliability and robustness for channels other than PDSCH (that is, PDCCH, PUSCH, and PUCCH) using multi-TRP and/or multi-panel, with Rel.16 reliability features as the baseline </w:t>
            </w:r>
          </w:p>
          <w:p w14:paraId="72411FCF" w14:textId="77777777" w:rsidR="00EB43CD" w:rsidRPr="00EB43CD" w:rsidRDefault="00EB43CD" w:rsidP="00EB43CD">
            <w:pPr>
              <w:numPr>
                <w:ilvl w:val="1"/>
                <w:numId w:val="14"/>
              </w:numPr>
              <w:overflowPunct w:val="0"/>
              <w:autoSpaceDE w:val="0"/>
              <w:autoSpaceDN w:val="0"/>
              <w:adjustRightInd w:val="0"/>
              <w:spacing w:after="0"/>
              <w:ind w:left="1440"/>
              <w:jc w:val="both"/>
              <w:textAlignment w:val="baseline"/>
              <w:rPr>
                <w:rFonts w:eastAsia="Malgun Gothic"/>
                <w:highlight w:val="yellow"/>
              </w:rPr>
            </w:pPr>
            <w:r w:rsidRPr="00EB43CD">
              <w:rPr>
                <w:rFonts w:eastAsia="Malgun Gothic"/>
                <w:highlight w:val="yellow"/>
              </w:rPr>
              <w:t>Identify and specify QCL/TCI-related enhancements to enable inter-cell multi-TRP operations, assuming multi-DCI based multi-PDSCH reception</w:t>
            </w:r>
          </w:p>
          <w:p w14:paraId="476E331F" w14:textId="77777777" w:rsidR="00EB43CD" w:rsidRPr="00EB43CD" w:rsidRDefault="00EB43CD" w:rsidP="00EB43CD">
            <w:pPr>
              <w:numPr>
                <w:ilvl w:val="1"/>
                <w:numId w:val="14"/>
              </w:numPr>
              <w:overflowPunct w:val="0"/>
              <w:autoSpaceDE w:val="0"/>
              <w:autoSpaceDN w:val="0"/>
              <w:adjustRightInd w:val="0"/>
              <w:spacing w:after="0"/>
              <w:ind w:left="1440"/>
              <w:jc w:val="both"/>
              <w:textAlignment w:val="baseline"/>
              <w:rPr>
                <w:rFonts w:eastAsia="Malgun Gothic"/>
              </w:rPr>
            </w:pPr>
            <w:r w:rsidRPr="00EB43CD">
              <w:rPr>
                <w:rFonts w:eastAsia="Malgun Gothic"/>
              </w:rPr>
              <w:t>Evaluate and, if needed, specify beam-management-related enhancements for simultaneous multi-TRP transmission with multi-panel reception</w:t>
            </w:r>
          </w:p>
          <w:p w14:paraId="69AC0DE4" w14:textId="77777777" w:rsidR="00EB43CD" w:rsidRPr="00EB43CD" w:rsidRDefault="00EB43CD" w:rsidP="00EB43CD">
            <w:pPr>
              <w:numPr>
                <w:ilvl w:val="1"/>
                <w:numId w:val="14"/>
              </w:numPr>
              <w:overflowPunct w:val="0"/>
              <w:autoSpaceDE w:val="0"/>
              <w:autoSpaceDN w:val="0"/>
              <w:adjustRightInd w:val="0"/>
              <w:spacing w:after="0"/>
              <w:ind w:left="1440"/>
              <w:jc w:val="both"/>
              <w:textAlignment w:val="baseline"/>
              <w:rPr>
                <w:rFonts w:eastAsia="Malgun Gothic"/>
              </w:rPr>
            </w:pPr>
            <w:r w:rsidRPr="00EB43CD">
              <w:rPr>
                <w:rFonts w:eastAsia="Malgun Gothic"/>
              </w:rPr>
              <w:t>Enhancement to support HST-SFN deployment scenario:</w:t>
            </w:r>
          </w:p>
          <w:p w14:paraId="089DD7AC" w14:textId="77777777" w:rsidR="00EB43CD" w:rsidRPr="00EB43CD" w:rsidRDefault="00EB43CD" w:rsidP="00EB43CD">
            <w:pPr>
              <w:numPr>
                <w:ilvl w:val="2"/>
                <w:numId w:val="14"/>
              </w:numPr>
              <w:overflowPunct w:val="0"/>
              <w:autoSpaceDE w:val="0"/>
              <w:autoSpaceDN w:val="0"/>
              <w:adjustRightInd w:val="0"/>
              <w:spacing w:after="0"/>
              <w:ind w:left="2160"/>
              <w:jc w:val="both"/>
              <w:textAlignment w:val="baseline"/>
              <w:rPr>
                <w:rFonts w:eastAsia="Malgun Gothic"/>
              </w:rPr>
            </w:pPr>
            <w:r w:rsidRPr="00EB43CD">
              <w:rPr>
                <w:rFonts w:eastAsia="Malgun Gothic"/>
              </w:rPr>
              <w:t>Identify and specify solution(s) on QCL assumption for DMRS, e.g. multiple QCL assumptions for the same DMRS port(s), targeting DL-only transmission</w:t>
            </w:r>
          </w:p>
          <w:p w14:paraId="28A08E3B" w14:textId="74F83DE2" w:rsidR="00EB43CD" w:rsidRPr="008E75DA" w:rsidRDefault="00EB43CD" w:rsidP="008E75DA">
            <w:pPr>
              <w:numPr>
                <w:ilvl w:val="2"/>
                <w:numId w:val="14"/>
              </w:numPr>
              <w:overflowPunct w:val="0"/>
              <w:autoSpaceDE w:val="0"/>
              <w:autoSpaceDN w:val="0"/>
              <w:adjustRightInd w:val="0"/>
              <w:spacing w:after="0"/>
              <w:ind w:left="2160"/>
              <w:jc w:val="both"/>
              <w:textAlignment w:val="baseline"/>
              <w:rPr>
                <w:rFonts w:eastAsia="Malgun Gothic"/>
              </w:rPr>
            </w:pPr>
            <w:r w:rsidRPr="00EB43CD">
              <w:rPr>
                <w:rFonts w:eastAsia="Malgun Gothic"/>
              </w:rPr>
              <w:t>Evaluate and, if the benefit over Rel.16 HST enhancement baseline is demonstrated, specify QCL/QCL-like relation (including applicable type(s) and the associated requirement) between DL and UL signal by reusing the unified TCI framework</w:t>
            </w:r>
          </w:p>
        </w:tc>
      </w:tr>
    </w:tbl>
    <w:p w14:paraId="7B8A5358" w14:textId="7E6C109C" w:rsidR="00FB4EF2" w:rsidRDefault="008E75DA" w:rsidP="00C24936">
      <w:pPr>
        <w:pStyle w:val="BodyText"/>
        <w:spacing w:beforeLines="50" w:before="120" w:after="240" w:line="276" w:lineRule="auto"/>
        <w:jc w:val="both"/>
        <w:rPr>
          <w:sz w:val="22"/>
          <w:lang w:val="en-GB"/>
        </w:rPr>
      </w:pPr>
      <w:r>
        <w:rPr>
          <w:sz w:val="22"/>
          <w:lang w:val="en-GB"/>
        </w:rPr>
        <w:t>Accordingly, i</w:t>
      </w:r>
      <w:r w:rsidR="00BA236B">
        <w:rPr>
          <w:sz w:val="22"/>
          <w:lang w:val="en-GB"/>
        </w:rPr>
        <w:t xml:space="preserve">n </w:t>
      </w:r>
      <w:r w:rsidR="000166AD">
        <w:rPr>
          <w:sz w:val="22"/>
          <w:lang w:val="en-GB"/>
        </w:rPr>
        <w:t>previous</w:t>
      </w:r>
      <w:r w:rsidR="00BA236B">
        <w:rPr>
          <w:sz w:val="22"/>
          <w:lang w:val="en-GB"/>
        </w:rPr>
        <w:t xml:space="preserve"> </w:t>
      </w:r>
      <w:r>
        <w:rPr>
          <w:sz w:val="22"/>
          <w:lang w:val="en-GB"/>
        </w:rPr>
        <w:t xml:space="preserve">RAN1 </w:t>
      </w:r>
      <w:r w:rsidR="00BA236B">
        <w:rPr>
          <w:sz w:val="22"/>
          <w:lang w:val="en-GB"/>
        </w:rPr>
        <w:t>meeting</w:t>
      </w:r>
      <w:r w:rsidR="000166AD">
        <w:rPr>
          <w:sz w:val="22"/>
          <w:lang w:val="en-GB"/>
        </w:rPr>
        <w:t>s</w:t>
      </w:r>
      <w:r w:rsidR="00BA236B">
        <w:rPr>
          <w:sz w:val="22"/>
          <w:lang w:val="en-GB"/>
        </w:rPr>
        <w:t>, agreements related to Mul</w:t>
      </w:r>
      <w:r w:rsidR="00B819A3">
        <w:rPr>
          <w:sz w:val="22"/>
          <w:lang w:val="en-GB"/>
        </w:rPr>
        <w:t>ti</w:t>
      </w:r>
      <w:r w:rsidR="00BA236B">
        <w:rPr>
          <w:sz w:val="22"/>
          <w:lang w:val="en-GB"/>
        </w:rPr>
        <w:t xml:space="preserve">-TRP </w:t>
      </w:r>
      <w:r w:rsidR="00B819A3">
        <w:rPr>
          <w:sz w:val="22"/>
          <w:lang w:val="en-GB"/>
        </w:rPr>
        <w:t xml:space="preserve">inter-cell operation </w:t>
      </w:r>
      <w:r w:rsidR="00BA236B">
        <w:rPr>
          <w:sz w:val="22"/>
          <w:lang w:val="en-GB"/>
        </w:rPr>
        <w:t>have been made and quoted below</w:t>
      </w:r>
      <w:r w:rsidR="001910C3">
        <w:rPr>
          <w:sz w:val="22"/>
          <w:lang w:val="en-GB"/>
        </w:rPr>
        <w:t>[2][3]</w:t>
      </w:r>
      <w:r w:rsidR="00BA236B">
        <w:rPr>
          <w:sz w:val="22"/>
          <w:lang w:val="en-GB"/>
        </w:rPr>
        <w:t xml:space="preserve">.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53C66B6A" w14:textId="77777777" w:rsidR="006328EA" w:rsidRPr="006328EA" w:rsidRDefault="006328EA" w:rsidP="006328EA">
            <w:pPr>
              <w:spacing w:after="0"/>
              <w:rPr>
                <w:rFonts w:eastAsia="Times New Roman"/>
                <w:b/>
                <w:szCs w:val="24"/>
                <w:highlight w:val="green"/>
                <w:lang w:val="en-US"/>
              </w:rPr>
            </w:pPr>
            <w:r w:rsidRPr="006328EA">
              <w:rPr>
                <w:rFonts w:eastAsia="Times New Roman"/>
                <w:b/>
                <w:szCs w:val="24"/>
                <w:highlight w:val="green"/>
                <w:lang w:val="en-US"/>
              </w:rPr>
              <w:t>Agreement</w:t>
            </w:r>
          </w:p>
          <w:p w14:paraId="7E13AAC7" w14:textId="77777777" w:rsidR="006328EA" w:rsidRPr="006328EA" w:rsidRDefault="006328EA" w:rsidP="006328EA">
            <w:pPr>
              <w:spacing w:after="0"/>
              <w:rPr>
                <w:rFonts w:eastAsia="Times New Roman"/>
                <w:bCs/>
                <w:szCs w:val="24"/>
                <w:lang w:val="en-US"/>
              </w:rPr>
            </w:pPr>
            <w:r w:rsidRPr="006328EA">
              <w:rPr>
                <w:rFonts w:eastAsia="Times New Roman"/>
                <w:bCs/>
                <w:szCs w:val="24"/>
                <w:lang w:val="en-US"/>
              </w:rPr>
              <w:t>Study the following aspects of QCL /TCI-related enhancement to enable inter-cell multi-DCI based multi-TRP operation.</w:t>
            </w:r>
          </w:p>
          <w:p w14:paraId="538B9C5D" w14:textId="77777777" w:rsidR="006328EA" w:rsidRPr="006328EA" w:rsidRDefault="006328EA" w:rsidP="006328EA">
            <w:pPr>
              <w:numPr>
                <w:ilvl w:val="0"/>
                <w:numId w:val="12"/>
              </w:numPr>
              <w:spacing w:after="0"/>
              <w:rPr>
                <w:rFonts w:eastAsia="Times New Roman"/>
                <w:bCs/>
                <w:szCs w:val="24"/>
                <w:lang w:val="en-US"/>
              </w:rPr>
            </w:pPr>
            <w:r w:rsidRPr="006328EA">
              <w:rPr>
                <w:rFonts w:eastAsia="Times New Roman"/>
                <w:bCs/>
                <w:szCs w:val="24"/>
                <w:lang w:val="en-US"/>
              </w:rPr>
              <w:t>Details on configuration of non-serving cell RS;</w:t>
            </w:r>
          </w:p>
          <w:p w14:paraId="2DFA703B" w14:textId="77777777" w:rsidR="006328EA" w:rsidRPr="006328EA" w:rsidRDefault="006328EA" w:rsidP="006328EA">
            <w:pPr>
              <w:numPr>
                <w:ilvl w:val="0"/>
                <w:numId w:val="12"/>
              </w:numPr>
              <w:spacing w:after="0"/>
              <w:rPr>
                <w:rFonts w:eastAsia="Times New Roman"/>
                <w:bCs/>
                <w:szCs w:val="24"/>
                <w:lang w:val="en-US"/>
              </w:rPr>
            </w:pPr>
            <w:r w:rsidRPr="006328EA">
              <w:rPr>
                <w:rFonts w:eastAsia="Times New Roman"/>
                <w:bCs/>
                <w:szCs w:val="24"/>
                <w:lang w:val="en-US"/>
              </w:rPr>
              <w:t>Allowed source and target RS types for RS transmitted from the non-serving cell TRP ;</w:t>
            </w:r>
          </w:p>
          <w:p w14:paraId="7BB0561B" w14:textId="77777777" w:rsidR="006328EA" w:rsidRPr="006328EA" w:rsidRDefault="006328EA" w:rsidP="006328EA">
            <w:pPr>
              <w:numPr>
                <w:ilvl w:val="0"/>
                <w:numId w:val="12"/>
              </w:numPr>
              <w:spacing w:after="0"/>
              <w:rPr>
                <w:rFonts w:eastAsia="Times New Roman"/>
                <w:bCs/>
                <w:szCs w:val="24"/>
                <w:lang w:val="en-US"/>
              </w:rPr>
            </w:pPr>
            <w:r w:rsidRPr="006328EA">
              <w:rPr>
                <w:rFonts w:eastAsia="Times New Roman"/>
                <w:bCs/>
                <w:szCs w:val="24"/>
                <w:lang w:val="en-US"/>
              </w:rPr>
              <w:t>Allowed QCL types for RS transmitted from the non-serving cell TRP ;</w:t>
            </w:r>
          </w:p>
          <w:p w14:paraId="36E43F5F" w14:textId="77777777" w:rsidR="006328EA" w:rsidRPr="006328EA" w:rsidRDefault="006328EA" w:rsidP="006328EA">
            <w:pPr>
              <w:numPr>
                <w:ilvl w:val="0"/>
                <w:numId w:val="12"/>
              </w:numPr>
              <w:spacing w:after="0"/>
              <w:rPr>
                <w:rFonts w:eastAsia="Times New Roman"/>
                <w:bCs/>
                <w:szCs w:val="24"/>
                <w:lang w:val="en-US"/>
              </w:rPr>
            </w:pPr>
            <w:r w:rsidRPr="006328EA">
              <w:rPr>
                <w:rFonts w:eastAsia="Times New Roman"/>
                <w:bCs/>
                <w:szCs w:val="24"/>
                <w:lang w:val="en-US"/>
              </w:rPr>
              <w:t>Measurement and reporting related to QCL /TCI enhancement except for that in 8.1.1, if any;</w:t>
            </w:r>
          </w:p>
          <w:p w14:paraId="6D5FF933" w14:textId="77777777" w:rsidR="006328EA" w:rsidRPr="006328EA" w:rsidRDefault="006328EA" w:rsidP="006328EA">
            <w:pPr>
              <w:numPr>
                <w:ilvl w:val="0"/>
                <w:numId w:val="12"/>
              </w:numPr>
              <w:spacing w:after="0"/>
              <w:rPr>
                <w:rFonts w:eastAsia="Times New Roman"/>
                <w:bCs/>
                <w:szCs w:val="24"/>
                <w:lang w:val="en-US"/>
              </w:rPr>
            </w:pPr>
            <w:r w:rsidRPr="006328EA">
              <w:rPr>
                <w:rFonts w:eastAsia="Times New Roman"/>
                <w:bCs/>
                <w:szCs w:val="24"/>
                <w:lang w:val="en-US"/>
              </w:rPr>
              <w:t>Clarification on potential UE behavior for associating/multiplexing non-serving cell RS with other RS/channels;</w:t>
            </w:r>
          </w:p>
          <w:p w14:paraId="15E803A1" w14:textId="77777777" w:rsidR="006328EA" w:rsidRPr="006328EA" w:rsidRDefault="006328EA" w:rsidP="006328EA">
            <w:pPr>
              <w:numPr>
                <w:ilvl w:val="0"/>
                <w:numId w:val="12"/>
              </w:numPr>
              <w:spacing w:after="0"/>
              <w:rPr>
                <w:rFonts w:eastAsia="Times New Roman"/>
                <w:bCs/>
                <w:szCs w:val="24"/>
                <w:lang w:val="en-US"/>
              </w:rPr>
            </w:pPr>
            <w:r w:rsidRPr="006328EA">
              <w:rPr>
                <w:rFonts w:eastAsia="Times New Roman"/>
                <w:bCs/>
                <w:szCs w:val="24"/>
                <w:lang w:val="en-US"/>
              </w:rPr>
              <w:t>Other details not precluded.</w:t>
            </w:r>
          </w:p>
          <w:p w14:paraId="67BC54DB" w14:textId="77777777" w:rsidR="006328EA" w:rsidRDefault="006328EA" w:rsidP="00746124">
            <w:pPr>
              <w:spacing w:after="0"/>
              <w:rPr>
                <w:rFonts w:eastAsia="Times New Roman"/>
                <w:b/>
                <w:szCs w:val="24"/>
                <w:highlight w:val="green"/>
                <w:lang w:val="en-US"/>
              </w:rPr>
            </w:pPr>
          </w:p>
          <w:p w14:paraId="0A6DFE40" w14:textId="257CF3AF" w:rsidR="00746124" w:rsidRPr="00746124" w:rsidRDefault="00746124" w:rsidP="00746124">
            <w:pPr>
              <w:spacing w:after="0"/>
              <w:rPr>
                <w:rFonts w:eastAsia="Times New Roman"/>
                <w:b/>
                <w:szCs w:val="24"/>
                <w:highlight w:val="green"/>
                <w:lang w:val="en-US"/>
              </w:rPr>
            </w:pPr>
            <w:r w:rsidRPr="00746124">
              <w:rPr>
                <w:rFonts w:eastAsia="Times New Roman"/>
                <w:b/>
                <w:szCs w:val="24"/>
                <w:highlight w:val="green"/>
                <w:lang w:val="en-US"/>
              </w:rPr>
              <w:t>Agreement</w:t>
            </w:r>
          </w:p>
          <w:p w14:paraId="38BFA615" w14:textId="77777777" w:rsidR="00746124" w:rsidRPr="00746124" w:rsidRDefault="00746124" w:rsidP="00746124">
            <w:pPr>
              <w:spacing w:after="0"/>
              <w:rPr>
                <w:rFonts w:eastAsia="Times New Roman"/>
                <w:szCs w:val="24"/>
                <w:lang w:val="en-US"/>
              </w:rPr>
            </w:pPr>
            <w:r w:rsidRPr="00746124">
              <w:rPr>
                <w:rFonts w:eastAsia="Times New Roman"/>
                <w:szCs w:val="24"/>
                <w:lang w:val="en-US"/>
              </w:rPr>
              <w:t>For QCL /TCI related enhancement for enhanced inter-cell multi-TRP operations, support RRC configuration of non-serving cell information</w:t>
            </w:r>
          </w:p>
          <w:p w14:paraId="2B533C63" w14:textId="77777777" w:rsidR="00746124" w:rsidRPr="00746124" w:rsidRDefault="00746124" w:rsidP="00746124">
            <w:pPr>
              <w:numPr>
                <w:ilvl w:val="0"/>
                <w:numId w:val="11"/>
              </w:numPr>
              <w:snapToGrid w:val="0"/>
              <w:spacing w:after="0"/>
              <w:jc w:val="both"/>
              <w:rPr>
                <w:rFonts w:eastAsia="Times New Roman" w:cs="Times"/>
                <w:szCs w:val="24"/>
                <w:lang w:val="en-US" w:eastAsia="x-none"/>
              </w:rPr>
            </w:pPr>
            <w:r w:rsidRPr="00746124">
              <w:rPr>
                <w:rFonts w:eastAsia="Times New Roman" w:cs="Times"/>
                <w:szCs w:val="24"/>
                <w:lang w:val="en-US" w:eastAsia="x-none"/>
              </w:rPr>
              <w:t>Non-serving cell information can be associated with the TCI state and/or QCL -info at least when “neighbor cell SSB” is used as “QCL referenceSignal ”</w:t>
            </w:r>
          </w:p>
          <w:p w14:paraId="334063C1" w14:textId="77777777" w:rsidR="00746124" w:rsidRPr="00746124" w:rsidRDefault="00746124" w:rsidP="00746124">
            <w:pPr>
              <w:numPr>
                <w:ilvl w:val="1"/>
                <w:numId w:val="11"/>
              </w:numPr>
              <w:snapToGrid w:val="0"/>
              <w:spacing w:after="0"/>
              <w:jc w:val="both"/>
              <w:rPr>
                <w:rFonts w:eastAsia="Times New Roman" w:cs="Times"/>
                <w:szCs w:val="24"/>
                <w:lang w:val="en-US" w:eastAsia="x-none"/>
              </w:rPr>
            </w:pPr>
            <w:r w:rsidRPr="00746124">
              <w:rPr>
                <w:rFonts w:eastAsia="Times New Roman" w:cs="Times"/>
                <w:szCs w:val="24"/>
                <w:lang w:val="en-US" w:eastAsia="x-none"/>
              </w:rPr>
              <w:t>FFS : Whether beam indication enhancement is needed in addition to QCL -info enhancement</w:t>
            </w:r>
          </w:p>
          <w:p w14:paraId="483FA905" w14:textId="77777777" w:rsidR="00746124" w:rsidRPr="00746124" w:rsidRDefault="00746124" w:rsidP="00746124">
            <w:pPr>
              <w:numPr>
                <w:ilvl w:val="1"/>
                <w:numId w:val="11"/>
              </w:numPr>
              <w:snapToGrid w:val="0"/>
              <w:spacing w:after="0"/>
              <w:jc w:val="both"/>
              <w:rPr>
                <w:rFonts w:eastAsia="Times New Roman" w:cs="Times"/>
                <w:szCs w:val="24"/>
                <w:lang w:val="en-US" w:eastAsia="x-none"/>
              </w:rPr>
            </w:pPr>
            <w:r w:rsidRPr="00746124">
              <w:rPr>
                <w:rFonts w:eastAsia="Times New Roman" w:cs="Times"/>
                <w:szCs w:val="24"/>
                <w:lang w:val="en-US" w:eastAsia="x-none"/>
              </w:rPr>
              <w:t>FFS : Whether the association is explicit or implicit</w:t>
            </w:r>
          </w:p>
          <w:p w14:paraId="4D4410B6" w14:textId="77777777" w:rsidR="00746124" w:rsidRPr="00746124" w:rsidRDefault="00746124" w:rsidP="00746124">
            <w:pPr>
              <w:spacing w:after="0"/>
              <w:rPr>
                <w:rFonts w:eastAsia="Times New Roman"/>
                <w:szCs w:val="24"/>
                <w:lang w:val="en-US"/>
              </w:rPr>
            </w:pPr>
          </w:p>
          <w:p w14:paraId="47420589" w14:textId="77777777" w:rsidR="00746124" w:rsidRPr="00746124" w:rsidRDefault="00746124" w:rsidP="00746124">
            <w:pPr>
              <w:spacing w:after="0"/>
              <w:rPr>
                <w:rFonts w:eastAsia="Times New Roman"/>
                <w:b/>
                <w:szCs w:val="24"/>
                <w:highlight w:val="green"/>
                <w:lang w:val="en-US"/>
              </w:rPr>
            </w:pPr>
            <w:r w:rsidRPr="00746124">
              <w:rPr>
                <w:rFonts w:eastAsia="Times New Roman"/>
                <w:b/>
                <w:szCs w:val="24"/>
                <w:highlight w:val="green"/>
                <w:lang w:val="en-US"/>
              </w:rPr>
              <w:t>Agreement</w:t>
            </w:r>
          </w:p>
          <w:p w14:paraId="4ADB366E" w14:textId="77777777" w:rsidR="00746124" w:rsidRPr="00746124" w:rsidRDefault="00746124" w:rsidP="00746124">
            <w:pPr>
              <w:spacing w:after="0"/>
              <w:rPr>
                <w:rFonts w:eastAsia="Times New Roman"/>
                <w:szCs w:val="24"/>
                <w:lang w:val="en-US"/>
              </w:rPr>
            </w:pPr>
            <w:r w:rsidRPr="00746124">
              <w:rPr>
                <w:rFonts w:eastAsia="Times New Roman"/>
                <w:szCs w:val="24"/>
                <w:lang w:val="en-US"/>
              </w:rPr>
              <w:t xml:space="preserve">The information provided by </w:t>
            </w:r>
            <w:bookmarkStart w:id="0" w:name="_Hlk61894437"/>
            <w:r w:rsidRPr="00746124">
              <w:rPr>
                <w:rFonts w:eastAsia="Times New Roman"/>
                <w:i/>
                <w:szCs w:val="24"/>
                <w:lang w:val="en-US"/>
              </w:rPr>
              <w:t>SSB-Configuration-r16</w:t>
            </w:r>
            <w:r w:rsidRPr="00746124">
              <w:rPr>
                <w:rFonts w:eastAsia="Times New Roman"/>
                <w:szCs w:val="24"/>
                <w:lang w:val="en-US"/>
              </w:rPr>
              <w:t>/</w:t>
            </w:r>
            <w:r w:rsidRPr="00746124">
              <w:rPr>
                <w:rFonts w:eastAsia="Times New Roman"/>
                <w:i/>
                <w:szCs w:val="24"/>
                <w:lang w:val="en-US"/>
              </w:rPr>
              <w:t>ssb-InfoNcell-r16</w:t>
            </w:r>
            <w:r w:rsidRPr="00746124">
              <w:rPr>
                <w:rFonts w:eastAsia="Times New Roman"/>
                <w:szCs w:val="24"/>
                <w:lang w:val="en-US"/>
              </w:rPr>
              <w:t xml:space="preserve"> and/or </w:t>
            </w:r>
            <w:r w:rsidRPr="00746124">
              <w:rPr>
                <w:rFonts w:eastAsia="Times New Roman"/>
                <w:i/>
                <w:szCs w:val="24"/>
                <w:lang w:val="en-US"/>
              </w:rPr>
              <w:t>MeasObject</w:t>
            </w:r>
            <w:r w:rsidRPr="00746124">
              <w:rPr>
                <w:rFonts w:eastAsia="Times New Roman"/>
                <w:szCs w:val="24"/>
                <w:lang w:val="en-US"/>
              </w:rPr>
              <w:t xml:space="preserve"> </w:t>
            </w:r>
            <w:bookmarkEnd w:id="0"/>
            <w:r w:rsidRPr="00746124">
              <w:rPr>
                <w:rFonts w:eastAsia="Times New Roman"/>
                <w:szCs w:val="24"/>
                <w:lang w:val="en-US"/>
              </w:rPr>
              <w:t>can be starting point for providing non-serving cell information</w:t>
            </w:r>
          </w:p>
          <w:p w14:paraId="56C3F5BF" w14:textId="77777777" w:rsidR="00746124" w:rsidRPr="00746124" w:rsidRDefault="00746124" w:rsidP="00746124">
            <w:pPr>
              <w:spacing w:after="0"/>
              <w:rPr>
                <w:rFonts w:eastAsia="Times New Roman"/>
                <w:szCs w:val="24"/>
                <w:lang w:val="en-US"/>
              </w:rPr>
            </w:pPr>
          </w:p>
          <w:p w14:paraId="02304BE1" w14:textId="77777777" w:rsidR="00746124" w:rsidRPr="00746124" w:rsidRDefault="00746124" w:rsidP="00746124">
            <w:pPr>
              <w:spacing w:after="0"/>
              <w:rPr>
                <w:rFonts w:eastAsia="Times New Roman"/>
                <w:b/>
                <w:bCs/>
                <w:szCs w:val="24"/>
                <w:lang w:val="en-US"/>
              </w:rPr>
            </w:pPr>
            <w:r w:rsidRPr="00746124">
              <w:rPr>
                <w:rFonts w:eastAsia="Times New Roman"/>
                <w:b/>
                <w:bCs/>
                <w:szCs w:val="24"/>
                <w:lang w:val="en-US"/>
              </w:rPr>
              <w:lastRenderedPageBreak/>
              <w:t>For future meetings</w:t>
            </w:r>
          </w:p>
          <w:p w14:paraId="11DBB3A8" w14:textId="77777777" w:rsidR="00746124" w:rsidRPr="00746124" w:rsidRDefault="00746124" w:rsidP="00746124">
            <w:pPr>
              <w:spacing w:after="0"/>
              <w:rPr>
                <w:rFonts w:eastAsia="Times New Roman"/>
                <w:bCs/>
                <w:szCs w:val="24"/>
                <w:lang w:val="en-US"/>
              </w:rPr>
            </w:pPr>
            <w:r w:rsidRPr="00746124">
              <w:rPr>
                <w:rFonts w:eastAsia="Malgun Gothic"/>
                <w:bCs/>
                <w:szCs w:val="24"/>
                <w:lang w:val="en-US"/>
              </w:rPr>
              <w:t>Consider rate matching behavior related to non-serving cell SSB.</w:t>
            </w:r>
          </w:p>
          <w:p w14:paraId="64517F9D" w14:textId="77B40F75" w:rsidR="00746124" w:rsidRPr="00C24936" w:rsidRDefault="00746124" w:rsidP="00C24936">
            <w:pPr>
              <w:pStyle w:val="BodyText"/>
              <w:spacing w:afterLines="0" w:line="0" w:lineRule="atLeast"/>
              <w:jc w:val="both"/>
              <w:rPr>
                <w:sz w:val="22"/>
              </w:rPr>
            </w:pPr>
          </w:p>
        </w:tc>
      </w:tr>
    </w:tbl>
    <w:p w14:paraId="0ABC11E1" w14:textId="60AA559E"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 xml:space="preserve">Based on the above quotations, we will provide our views on some </w:t>
      </w:r>
      <w:r w:rsidR="00C76CA9">
        <w:rPr>
          <w:sz w:val="22"/>
          <w:lang w:val="en-GB"/>
        </w:rPr>
        <w:t>related</w:t>
      </w:r>
      <w:r>
        <w:rPr>
          <w:sz w:val="22"/>
          <w:lang w:val="en-GB"/>
        </w:rPr>
        <w:t xml:space="preserve"> issues, especially </w:t>
      </w:r>
      <w:r w:rsidR="00FA05AB">
        <w:rPr>
          <w:sz w:val="22"/>
          <w:lang w:val="en-GB"/>
        </w:rPr>
        <w:t>on how to associate non-serving cell information to TCI state</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1879CAE2" w14:textId="6818D895" w:rsidR="00BA1CA5" w:rsidRPr="002A581B" w:rsidRDefault="00E112CB" w:rsidP="00884759">
      <w:pPr>
        <w:pStyle w:val="Heading2"/>
        <w:numPr>
          <w:ilvl w:val="1"/>
          <w:numId w:val="1"/>
        </w:numPr>
        <w:rPr>
          <w:b/>
          <w:sz w:val="28"/>
          <w:lang w:eastAsia="zh-TW"/>
        </w:rPr>
      </w:pPr>
      <w:r>
        <w:rPr>
          <w:b/>
          <w:sz w:val="28"/>
          <w:lang w:eastAsia="zh-TW"/>
        </w:rPr>
        <w:t xml:space="preserve">QCL/TCI related enhancement </w:t>
      </w:r>
      <w:r w:rsidR="00657EDD">
        <w:rPr>
          <w:b/>
          <w:sz w:val="28"/>
          <w:lang w:eastAsia="zh-TW"/>
        </w:rPr>
        <w:t xml:space="preserve"> </w:t>
      </w:r>
    </w:p>
    <w:p w14:paraId="2D7B4658" w14:textId="75133CE3" w:rsidR="000E287E" w:rsidRDefault="00FD01D4" w:rsidP="00E112CB">
      <w:pPr>
        <w:spacing w:line="360" w:lineRule="auto"/>
        <w:jc w:val="both"/>
        <w:rPr>
          <w:rFonts w:eastAsia="Times New Roman"/>
          <w:iCs/>
          <w:sz w:val="22"/>
          <w:szCs w:val="22"/>
          <w:lang w:val="en-US"/>
        </w:rPr>
      </w:pPr>
      <w:r>
        <w:rPr>
          <w:rFonts w:hint="eastAsia"/>
          <w:sz w:val="22"/>
          <w:lang w:eastAsia="zh-TW"/>
        </w:rPr>
        <w:t>I</w:t>
      </w:r>
      <w:r>
        <w:rPr>
          <w:sz w:val="22"/>
          <w:lang w:eastAsia="zh-TW"/>
        </w:rPr>
        <w:t xml:space="preserve">n order to </w:t>
      </w:r>
      <w:r w:rsidR="00C20946">
        <w:rPr>
          <w:sz w:val="22"/>
          <w:lang w:eastAsia="zh-TW"/>
        </w:rPr>
        <w:t>enable multi-TRP inter-cell operation, enhancement on QCL or TCI state has been seen as critical issues to manage. In last meeting, RAN1 has agreed to use RRC signalling for associating QCL/TCI with non-serving cell information</w:t>
      </w:r>
      <w:r w:rsidR="003929C5">
        <w:rPr>
          <w:sz w:val="22"/>
          <w:lang w:eastAsia="zh-TW"/>
        </w:rPr>
        <w:t xml:space="preserve"> when needed (e.g.</w:t>
      </w:r>
      <w:r w:rsidR="00C5465D">
        <w:rPr>
          <w:sz w:val="22"/>
          <w:lang w:eastAsia="zh-TW"/>
        </w:rPr>
        <w:t>,</w:t>
      </w:r>
      <w:r w:rsidR="003929C5">
        <w:rPr>
          <w:sz w:val="22"/>
          <w:lang w:eastAsia="zh-TW"/>
        </w:rPr>
        <w:t xml:space="preserve"> SSB from neighbouring cell is set as </w:t>
      </w:r>
      <w:r w:rsidR="00425C91">
        <w:rPr>
          <w:sz w:val="22"/>
          <w:lang w:eastAsia="zh-TW"/>
        </w:rPr>
        <w:t xml:space="preserve">QCL </w:t>
      </w:r>
      <w:r w:rsidR="003929C5">
        <w:rPr>
          <w:sz w:val="22"/>
          <w:lang w:eastAsia="zh-TW"/>
        </w:rPr>
        <w:t>source RS)</w:t>
      </w:r>
      <w:r w:rsidR="00C20946">
        <w:rPr>
          <w:sz w:val="22"/>
          <w:lang w:eastAsia="zh-TW"/>
        </w:rPr>
        <w:t xml:space="preserve">. </w:t>
      </w:r>
      <w:r w:rsidR="003929C5">
        <w:rPr>
          <w:sz w:val="22"/>
          <w:lang w:eastAsia="zh-TW"/>
        </w:rPr>
        <w:t xml:space="preserve"> </w:t>
      </w:r>
      <w:r w:rsidR="00D413E2">
        <w:rPr>
          <w:sz w:val="22"/>
          <w:lang w:eastAsia="zh-TW"/>
        </w:rPr>
        <w:t>Nonetheless, non-serving cell information has not been assured its precise contents, which may be further derived fro</w:t>
      </w:r>
      <w:r w:rsidR="00D413E2" w:rsidRPr="00D413E2">
        <w:rPr>
          <w:sz w:val="22"/>
          <w:szCs w:val="22"/>
          <w:lang w:eastAsia="zh-TW"/>
        </w:rPr>
        <w:t xml:space="preserve">m </w:t>
      </w:r>
      <w:r w:rsidR="00D413E2" w:rsidRPr="00746124">
        <w:rPr>
          <w:rFonts w:eastAsia="Times New Roman"/>
          <w:i/>
          <w:sz w:val="22"/>
          <w:szCs w:val="22"/>
          <w:lang w:val="en-US"/>
        </w:rPr>
        <w:t>SSB-Configuration-r16</w:t>
      </w:r>
      <w:r w:rsidR="00D413E2" w:rsidRPr="00D413E2">
        <w:rPr>
          <w:rFonts w:eastAsia="Times New Roman"/>
          <w:iCs/>
          <w:sz w:val="22"/>
          <w:szCs w:val="22"/>
          <w:lang w:val="en-US"/>
        </w:rPr>
        <w:t>,</w:t>
      </w:r>
      <w:r w:rsidR="00D413E2">
        <w:rPr>
          <w:rFonts w:eastAsia="Times New Roman"/>
          <w:i/>
          <w:sz w:val="22"/>
          <w:szCs w:val="22"/>
          <w:lang w:val="en-US"/>
        </w:rPr>
        <w:t xml:space="preserve"> </w:t>
      </w:r>
      <w:r w:rsidR="00D413E2" w:rsidRPr="00746124">
        <w:rPr>
          <w:rFonts w:eastAsia="Times New Roman"/>
          <w:i/>
          <w:sz w:val="22"/>
          <w:szCs w:val="22"/>
          <w:lang w:val="en-US"/>
        </w:rPr>
        <w:t>ssb-InfoNcell-r16</w:t>
      </w:r>
      <w:r w:rsidR="00D413E2" w:rsidRPr="00746124">
        <w:rPr>
          <w:rFonts w:eastAsia="Times New Roman"/>
          <w:sz w:val="22"/>
          <w:szCs w:val="22"/>
          <w:lang w:val="en-US"/>
        </w:rPr>
        <w:t xml:space="preserve"> or </w:t>
      </w:r>
      <w:r w:rsidR="00D413E2" w:rsidRPr="00746124">
        <w:rPr>
          <w:rFonts w:eastAsia="Times New Roman"/>
          <w:i/>
          <w:sz w:val="22"/>
          <w:szCs w:val="22"/>
          <w:lang w:val="en-US"/>
        </w:rPr>
        <w:t>MeasObject</w:t>
      </w:r>
      <w:r w:rsidR="00D413E2">
        <w:rPr>
          <w:rFonts w:eastAsia="Times New Roman"/>
          <w:iCs/>
          <w:sz w:val="22"/>
          <w:szCs w:val="22"/>
          <w:lang w:val="en-US"/>
        </w:rPr>
        <w:t xml:space="preserve">. </w:t>
      </w:r>
      <w:r w:rsidR="00ED39E3">
        <w:rPr>
          <w:rFonts w:eastAsia="Times New Roman"/>
          <w:iCs/>
          <w:sz w:val="22"/>
          <w:szCs w:val="22"/>
          <w:lang w:val="en-US"/>
        </w:rPr>
        <w:t xml:space="preserve">Despite of that, it can be envisioned that non-serving cell information may at least </w:t>
      </w:r>
      <w:r w:rsidR="006A3D8D">
        <w:rPr>
          <w:rFonts w:eastAsia="Times New Roman"/>
          <w:iCs/>
          <w:sz w:val="22"/>
          <w:szCs w:val="22"/>
          <w:lang w:val="en-US"/>
        </w:rPr>
        <w:t xml:space="preserve">be </w:t>
      </w:r>
      <w:r w:rsidR="00ED39E3">
        <w:rPr>
          <w:rFonts w:eastAsia="Times New Roman"/>
          <w:iCs/>
          <w:sz w:val="22"/>
          <w:szCs w:val="22"/>
          <w:lang w:val="en-US"/>
        </w:rPr>
        <w:t xml:space="preserve">associated with PCI. </w:t>
      </w:r>
    </w:p>
    <w:p w14:paraId="12ED6C44" w14:textId="31BD2F59" w:rsidR="00E112CB" w:rsidRPr="008D5BCB" w:rsidRDefault="000E287E" w:rsidP="00721301">
      <w:pPr>
        <w:jc w:val="both"/>
        <w:rPr>
          <w:rFonts w:eastAsia="Times New Roman"/>
          <w:iCs/>
          <w:sz w:val="22"/>
          <w:szCs w:val="22"/>
          <w:lang w:val="en-US"/>
        </w:rPr>
      </w:pPr>
      <w:r>
        <w:rPr>
          <w:rFonts w:eastAsia="Times New Roman"/>
          <w:iCs/>
          <w:sz w:val="22"/>
          <w:szCs w:val="22"/>
          <w:lang w:val="en-US"/>
        </w:rPr>
        <w:t>For associatin</w:t>
      </w:r>
      <w:r w:rsidRPr="008D5BCB">
        <w:rPr>
          <w:rFonts w:eastAsia="Times New Roman"/>
          <w:iCs/>
          <w:sz w:val="22"/>
          <w:szCs w:val="22"/>
          <w:lang w:val="en-US"/>
        </w:rPr>
        <w:t>g non-serving cell information (e.g., PCI) with QCL/TCI, two methods ha</w:t>
      </w:r>
      <w:r w:rsidR="005C700C">
        <w:rPr>
          <w:rFonts w:eastAsia="Times New Roman"/>
          <w:iCs/>
          <w:sz w:val="22"/>
          <w:szCs w:val="22"/>
          <w:lang w:val="en-US"/>
        </w:rPr>
        <w:t>ve</w:t>
      </w:r>
      <w:r w:rsidRPr="008D5BCB">
        <w:rPr>
          <w:rFonts w:eastAsia="Times New Roman"/>
          <w:iCs/>
          <w:sz w:val="22"/>
          <w:szCs w:val="22"/>
          <w:lang w:val="en-US"/>
        </w:rPr>
        <w:t xml:space="preserve"> been identified</w:t>
      </w:r>
      <w:r w:rsidR="008D5BCB" w:rsidRPr="008D5BCB">
        <w:rPr>
          <w:rFonts w:eastAsia="Times New Roman"/>
          <w:iCs/>
          <w:sz w:val="22"/>
          <w:szCs w:val="22"/>
          <w:lang w:val="en-US"/>
        </w:rPr>
        <w:t xml:space="preserve">: </w:t>
      </w:r>
    </w:p>
    <w:p w14:paraId="56AEC0DE" w14:textId="13B2AF4E" w:rsidR="008D5BCB" w:rsidRPr="008D5BCB" w:rsidRDefault="008D5BCB" w:rsidP="008D5BCB">
      <w:pPr>
        <w:pStyle w:val="ListParagraph"/>
        <w:numPr>
          <w:ilvl w:val="0"/>
          <w:numId w:val="13"/>
        </w:numPr>
        <w:spacing w:line="360" w:lineRule="auto"/>
        <w:ind w:firstLineChars="0"/>
        <w:jc w:val="both"/>
        <w:rPr>
          <w:rFonts w:ascii="Times New Roman" w:eastAsiaTheme="minorEastAsia" w:hAnsi="Times New Roman"/>
          <w:iCs/>
          <w:sz w:val="22"/>
        </w:rPr>
      </w:pPr>
      <w:r w:rsidRPr="008D5BCB">
        <w:rPr>
          <w:rFonts w:ascii="Times New Roman" w:eastAsiaTheme="minorEastAsia" w:hAnsi="Times New Roman"/>
          <w:iCs/>
          <w:sz w:val="22"/>
        </w:rPr>
        <w:t xml:space="preserve">Explicit way: </w:t>
      </w:r>
      <w:r w:rsidR="004D584D" w:rsidRPr="004D584D">
        <w:rPr>
          <w:rFonts w:ascii="Times New Roman" w:eastAsiaTheme="minorEastAsia" w:hAnsi="Times New Roman"/>
          <w:iCs/>
          <w:sz w:val="22"/>
        </w:rPr>
        <w:t>Non-serving cell information is indicated in the TCI state</w:t>
      </w:r>
    </w:p>
    <w:p w14:paraId="10E64B13" w14:textId="7D56A480" w:rsidR="008D5BCB" w:rsidRPr="008D5BCB" w:rsidRDefault="008D5BCB" w:rsidP="00721301">
      <w:pPr>
        <w:pStyle w:val="ListParagraph"/>
        <w:numPr>
          <w:ilvl w:val="0"/>
          <w:numId w:val="13"/>
        </w:numPr>
        <w:spacing w:line="480" w:lineRule="auto"/>
        <w:ind w:firstLineChars="0"/>
        <w:jc w:val="both"/>
        <w:rPr>
          <w:rFonts w:ascii="Times New Roman" w:eastAsiaTheme="minorEastAsia" w:hAnsi="Times New Roman"/>
          <w:iCs/>
          <w:sz w:val="22"/>
        </w:rPr>
      </w:pPr>
      <w:r w:rsidRPr="008D5BCB">
        <w:rPr>
          <w:rFonts w:ascii="Times New Roman" w:eastAsiaTheme="minorEastAsia" w:hAnsi="Times New Roman"/>
          <w:iCs/>
          <w:sz w:val="22"/>
        </w:rPr>
        <w:t xml:space="preserve">Implicit way: </w:t>
      </w:r>
      <w:r w:rsidR="004D584D" w:rsidRPr="004D584D">
        <w:rPr>
          <w:rFonts w:ascii="Times New Roman" w:eastAsiaTheme="minorEastAsia" w:hAnsi="Times New Roman"/>
          <w:iCs/>
          <w:sz w:val="22"/>
        </w:rPr>
        <w:t>Group TCI state and associate non-serving cell information with each group</w:t>
      </w:r>
    </w:p>
    <w:p w14:paraId="6D29FFEC" w14:textId="0FB2D72E" w:rsidR="008D5BCB" w:rsidRDefault="00721301" w:rsidP="00ED2FD4">
      <w:pPr>
        <w:spacing w:line="360" w:lineRule="auto"/>
        <w:rPr>
          <w:sz w:val="22"/>
          <w:szCs w:val="22"/>
          <w:lang w:eastAsia="zh-TW"/>
        </w:rPr>
      </w:pPr>
      <w:r>
        <w:rPr>
          <w:sz w:val="22"/>
          <w:szCs w:val="22"/>
          <w:lang w:eastAsia="zh-TW"/>
        </w:rPr>
        <w:t xml:space="preserve">In our opinion, both </w:t>
      </w:r>
      <w:r w:rsidR="006A3D8D">
        <w:rPr>
          <w:sz w:val="22"/>
          <w:szCs w:val="22"/>
          <w:lang w:eastAsia="zh-TW"/>
        </w:rPr>
        <w:t xml:space="preserve">approaches </w:t>
      </w:r>
      <w:r>
        <w:rPr>
          <w:sz w:val="22"/>
          <w:szCs w:val="22"/>
          <w:lang w:eastAsia="zh-TW"/>
        </w:rPr>
        <w:t xml:space="preserve">can achieve same </w:t>
      </w:r>
      <w:r w:rsidR="006A3D8D">
        <w:rPr>
          <w:sz w:val="22"/>
          <w:szCs w:val="22"/>
          <w:lang w:eastAsia="zh-TW"/>
        </w:rPr>
        <w:t>target</w:t>
      </w:r>
      <w:r>
        <w:rPr>
          <w:sz w:val="22"/>
          <w:szCs w:val="22"/>
          <w:lang w:eastAsia="zh-TW"/>
        </w:rPr>
        <w:t xml:space="preserve"> of facilitating </w:t>
      </w:r>
      <w:r>
        <w:rPr>
          <w:sz w:val="22"/>
          <w:lang w:eastAsia="zh-TW"/>
        </w:rPr>
        <w:t xml:space="preserve">multi-TRP inter-cell operation. </w:t>
      </w:r>
      <w:r w:rsidR="006A3D8D">
        <w:rPr>
          <w:sz w:val="22"/>
          <w:lang w:eastAsia="zh-TW"/>
        </w:rPr>
        <w:t>While</w:t>
      </w:r>
      <w:r>
        <w:rPr>
          <w:sz w:val="22"/>
          <w:lang w:eastAsia="zh-TW"/>
        </w:rPr>
        <w:t xml:space="preserve"> explicit </w:t>
      </w:r>
      <w:r w:rsidR="006A3D8D">
        <w:rPr>
          <w:sz w:val="22"/>
          <w:lang w:eastAsia="zh-TW"/>
        </w:rPr>
        <w:t xml:space="preserve">approach </w:t>
      </w:r>
      <w:r>
        <w:rPr>
          <w:sz w:val="22"/>
          <w:lang w:eastAsia="zh-TW"/>
        </w:rPr>
        <w:t xml:space="preserve">is </w:t>
      </w:r>
      <w:r w:rsidR="006A3D8D">
        <w:rPr>
          <w:sz w:val="22"/>
          <w:lang w:eastAsia="zh-TW"/>
        </w:rPr>
        <w:t>straightforward,</w:t>
      </w:r>
      <w:r>
        <w:rPr>
          <w:sz w:val="22"/>
          <w:lang w:eastAsia="zh-TW"/>
        </w:rPr>
        <w:t xml:space="preserve"> configuring </w:t>
      </w:r>
      <w:r>
        <w:rPr>
          <w:rFonts w:hint="eastAsia"/>
          <w:sz w:val="22"/>
          <w:lang w:eastAsia="zh-TW"/>
        </w:rPr>
        <w:t>n</w:t>
      </w:r>
      <w:r>
        <w:rPr>
          <w:sz w:val="22"/>
          <w:lang w:eastAsia="zh-TW"/>
        </w:rPr>
        <w:t>on-serving cell information (e.g., PCI) may indeed cause too much RRC signaling overhead. In addition, the number of non-serving cell</w:t>
      </w:r>
      <w:r w:rsidR="00552600">
        <w:rPr>
          <w:sz w:val="22"/>
          <w:lang w:eastAsia="zh-TW"/>
        </w:rPr>
        <w:t>(</w:t>
      </w:r>
      <w:r w:rsidR="006A3D8D">
        <w:rPr>
          <w:sz w:val="22"/>
          <w:lang w:val="en-US" w:eastAsia="zh-TW"/>
        </w:rPr>
        <w:t>s</w:t>
      </w:r>
      <w:r w:rsidR="00552600">
        <w:rPr>
          <w:sz w:val="22"/>
          <w:lang w:val="en-US" w:eastAsia="zh-TW"/>
        </w:rPr>
        <w:t>)</w:t>
      </w:r>
      <w:r>
        <w:rPr>
          <w:sz w:val="22"/>
          <w:lang w:eastAsia="zh-TW"/>
        </w:rPr>
        <w:t xml:space="preserve"> (or neighbouring cell</w:t>
      </w:r>
      <w:r w:rsidR="00552600">
        <w:rPr>
          <w:sz w:val="22"/>
          <w:lang w:eastAsia="zh-TW"/>
        </w:rPr>
        <w:t>(</w:t>
      </w:r>
      <w:r w:rsidR="006A3D8D">
        <w:rPr>
          <w:sz w:val="22"/>
          <w:lang w:eastAsia="zh-TW"/>
        </w:rPr>
        <w:t>s</w:t>
      </w:r>
      <w:r w:rsidR="00552600">
        <w:rPr>
          <w:sz w:val="22"/>
          <w:lang w:eastAsia="zh-TW"/>
        </w:rPr>
        <w:t>)</w:t>
      </w:r>
      <w:r>
        <w:rPr>
          <w:sz w:val="22"/>
          <w:lang w:eastAsia="zh-TW"/>
        </w:rPr>
        <w:t xml:space="preserve">) may be only one. In light of that, it is more efficient to support implicit way. In conclusion, our preference is to go with implicit way first. </w:t>
      </w:r>
    </w:p>
    <w:p w14:paraId="4F62E2D3" w14:textId="6CF8B78C" w:rsidR="0061097A" w:rsidRPr="008C3B37" w:rsidRDefault="00A322D2" w:rsidP="008C3B37">
      <w:pPr>
        <w:spacing w:line="360" w:lineRule="auto"/>
        <w:rPr>
          <w:b/>
          <w:bCs/>
          <w:sz w:val="22"/>
          <w:lang w:eastAsia="zh-TW"/>
        </w:rPr>
      </w:pPr>
      <w:r w:rsidRPr="0064186E">
        <w:rPr>
          <w:rFonts w:hint="eastAsia"/>
          <w:b/>
          <w:sz w:val="22"/>
          <w:szCs w:val="22"/>
          <w:lang w:eastAsia="zh-TW"/>
        </w:rPr>
        <w:t>P</w:t>
      </w:r>
      <w:r w:rsidRPr="0064186E">
        <w:rPr>
          <w:b/>
          <w:sz w:val="22"/>
          <w:szCs w:val="22"/>
          <w:lang w:eastAsia="zh-TW"/>
        </w:rPr>
        <w:t xml:space="preserve">roposal </w:t>
      </w:r>
      <w:r w:rsidR="00EE4DF2">
        <w:rPr>
          <w:b/>
          <w:sz w:val="22"/>
          <w:szCs w:val="22"/>
          <w:lang w:eastAsia="zh-TW"/>
        </w:rPr>
        <w:t>1</w:t>
      </w:r>
      <w:r w:rsidRPr="0064186E">
        <w:rPr>
          <w:b/>
          <w:sz w:val="22"/>
          <w:szCs w:val="22"/>
          <w:lang w:eastAsia="zh-TW"/>
        </w:rPr>
        <w:t>:</w:t>
      </w:r>
      <w:r>
        <w:rPr>
          <w:b/>
          <w:sz w:val="22"/>
          <w:szCs w:val="22"/>
          <w:lang w:eastAsia="zh-TW"/>
        </w:rPr>
        <w:t xml:space="preserve"> </w:t>
      </w:r>
      <w:r w:rsidR="008C3B37">
        <w:rPr>
          <w:b/>
          <w:sz w:val="22"/>
          <w:szCs w:val="22"/>
          <w:lang w:eastAsia="zh-TW"/>
        </w:rPr>
        <w:t>S</w:t>
      </w:r>
      <w:r w:rsidR="008C3B37">
        <w:rPr>
          <w:b/>
          <w:bCs/>
          <w:sz w:val="22"/>
          <w:lang w:eastAsia="zh-TW"/>
        </w:rPr>
        <w:t xml:space="preserve">upport implicit configuration </w:t>
      </w:r>
      <w:r w:rsidR="0032324C">
        <w:rPr>
          <w:b/>
          <w:bCs/>
          <w:sz w:val="22"/>
          <w:lang w:eastAsia="zh-TW"/>
        </w:rPr>
        <w:t>for grouping TCI states associated with a same TRP/serving cell</w:t>
      </w:r>
      <w:r w:rsidR="001E4FAB">
        <w:rPr>
          <w:b/>
          <w:bCs/>
          <w:sz w:val="22"/>
          <w:lang w:eastAsia="zh-TW"/>
        </w:rPr>
        <w:t xml:space="preserve">. </w:t>
      </w:r>
    </w:p>
    <w:p w14:paraId="0285D5EB" w14:textId="054482BC" w:rsidR="00F466BE" w:rsidRPr="002A581B" w:rsidRDefault="006E6F9A" w:rsidP="0027655B">
      <w:pPr>
        <w:pStyle w:val="Heading2"/>
        <w:numPr>
          <w:ilvl w:val="1"/>
          <w:numId w:val="1"/>
        </w:numPr>
        <w:rPr>
          <w:b/>
          <w:sz w:val="28"/>
          <w:lang w:eastAsia="zh-TW"/>
        </w:rPr>
      </w:pPr>
      <w:r>
        <w:rPr>
          <w:b/>
          <w:sz w:val="28"/>
          <w:lang w:eastAsia="zh-TW"/>
        </w:rPr>
        <w:t>UL enhancement for inter-cell operation</w:t>
      </w:r>
    </w:p>
    <w:p w14:paraId="17364D28" w14:textId="209176F9" w:rsidR="009D6B84" w:rsidRDefault="007365AD" w:rsidP="009D6B84">
      <w:pPr>
        <w:spacing w:line="360" w:lineRule="auto"/>
        <w:jc w:val="both"/>
        <w:rPr>
          <w:sz w:val="22"/>
          <w:szCs w:val="22"/>
          <w:lang w:eastAsia="zh-TW"/>
        </w:rPr>
      </w:pPr>
      <w:r>
        <w:rPr>
          <w:sz w:val="22"/>
          <w:lang w:eastAsia="zh-TW"/>
        </w:rPr>
        <w:t xml:space="preserve">One issue related to inter-cell operation is that whether and how to enhance UL transmission (e.g., PUSCH, PUCCH and SRS). Under a scenario where serving TRP may come from </w:t>
      </w:r>
      <w:r w:rsidR="006A3D8D">
        <w:rPr>
          <w:sz w:val="22"/>
          <w:lang w:eastAsia="zh-TW"/>
        </w:rPr>
        <w:t xml:space="preserve">a </w:t>
      </w:r>
      <w:r>
        <w:rPr>
          <w:sz w:val="22"/>
          <w:lang w:eastAsia="zh-TW"/>
        </w:rPr>
        <w:t xml:space="preserve">different cell, it may not be able to keep same set of spatial relations or power control parameters. </w:t>
      </w:r>
      <w:r w:rsidR="00AE3B2E">
        <w:rPr>
          <w:sz w:val="22"/>
          <w:lang w:eastAsia="zh-TW"/>
        </w:rPr>
        <w:t xml:space="preserve">From perspective of WID discussion, this agenda would be </w:t>
      </w:r>
      <w:r w:rsidR="001E3F4C">
        <w:rPr>
          <w:sz w:val="22"/>
          <w:lang w:eastAsia="zh-TW"/>
        </w:rPr>
        <w:t xml:space="preserve">focusing on </w:t>
      </w:r>
      <w:r w:rsidR="00AE3B2E">
        <w:rPr>
          <w:sz w:val="22"/>
          <w:lang w:eastAsia="zh-TW"/>
        </w:rPr>
        <w:t xml:space="preserve">DL reception enhancement. </w:t>
      </w:r>
      <w:r w:rsidR="0082309A">
        <w:rPr>
          <w:sz w:val="22"/>
          <w:lang w:eastAsia="zh-TW"/>
        </w:rPr>
        <w:t xml:space="preserve">However, performance of most DL reception is not certified without UL feedback. Therefore, at least for PUCCH, UL enhancement for inter-cell operation </w:t>
      </w:r>
      <w:r w:rsidR="006A3D8D">
        <w:rPr>
          <w:sz w:val="22"/>
          <w:lang w:eastAsia="zh-TW"/>
        </w:rPr>
        <w:t>is benefic</w:t>
      </w:r>
      <w:r w:rsidR="009D65C3">
        <w:rPr>
          <w:sz w:val="22"/>
          <w:lang w:eastAsia="zh-TW"/>
        </w:rPr>
        <w:t>i</w:t>
      </w:r>
      <w:r w:rsidR="006A3D8D">
        <w:rPr>
          <w:sz w:val="22"/>
          <w:lang w:eastAsia="zh-TW"/>
        </w:rPr>
        <w:t>al</w:t>
      </w:r>
      <w:r w:rsidR="0082309A">
        <w:rPr>
          <w:sz w:val="22"/>
          <w:lang w:eastAsia="zh-TW"/>
        </w:rPr>
        <w:t xml:space="preserve">. </w:t>
      </w:r>
      <w:r w:rsidR="00FE478E">
        <w:rPr>
          <w:sz w:val="22"/>
          <w:lang w:eastAsia="zh-TW"/>
        </w:rPr>
        <w:t xml:space="preserve">On the other hand, we understand the importance of firstly finalizing enhancement of DL reception. We also observed that many companies have expressed their concerns on WID scope issue. For sake of progress, we propose to discuss it with lower priority. </w:t>
      </w:r>
      <w:r w:rsidR="009D6B84">
        <w:rPr>
          <w:sz w:val="22"/>
          <w:lang w:eastAsia="zh-TW"/>
        </w:rPr>
        <w:t xml:space="preserve"> </w:t>
      </w:r>
    </w:p>
    <w:p w14:paraId="19227B5E" w14:textId="679CC433" w:rsidR="00CB4B8A" w:rsidRDefault="00CB4B8A" w:rsidP="00CB4B8A">
      <w:pPr>
        <w:pStyle w:val="Caption"/>
        <w:snapToGrid w:val="0"/>
        <w:jc w:val="both"/>
        <w:rPr>
          <w:b/>
          <w:sz w:val="22"/>
          <w:szCs w:val="22"/>
          <w:lang w:eastAsia="zh-TW"/>
        </w:rPr>
      </w:pPr>
      <w:r w:rsidRPr="00884759">
        <w:rPr>
          <w:b/>
          <w:sz w:val="22"/>
          <w:szCs w:val="22"/>
          <w:lang w:eastAsia="zh-TW"/>
        </w:rPr>
        <w:t xml:space="preserve">Proposal </w:t>
      </w:r>
      <w:r w:rsidR="00C97022">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sidR="006E6F9A">
        <w:rPr>
          <w:b/>
          <w:sz w:val="22"/>
          <w:szCs w:val="22"/>
          <w:lang w:eastAsia="zh-TW"/>
        </w:rPr>
        <w:t>UL enhancement for inter-cell operation is to be discussed with lower priority</w:t>
      </w:r>
      <w:r w:rsidR="00287FB9">
        <w:rPr>
          <w:b/>
          <w:sz w:val="22"/>
          <w:szCs w:val="22"/>
          <w:lang w:eastAsia="zh-TW"/>
        </w:rPr>
        <w:t xml:space="preserve">. </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lastRenderedPageBreak/>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1F0D74C6" w14:textId="77777777" w:rsidR="000419EB" w:rsidRPr="008C3B37" w:rsidRDefault="000419EB" w:rsidP="000419EB">
      <w:pPr>
        <w:spacing w:line="360" w:lineRule="auto"/>
        <w:rPr>
          <w:b/>
          <w:bCs/>
          <w:sz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1</w:t>
      </w:r>
      <w:r w:rsidRPr="0064186E">
        <w:rPr>
          <w:b/>
          <w:sz w:val="22"/>
          <w:szCs w:val="22"/>
          <w:lang w:eastAsia="zh-TW"/>
        </w:rPr>
        <w:t>:</w:t>
      </w:r>
      <w:r>
        <w:rPr>
          <w:b/>
          <w:sz w:val="22"/>
          <w:szCs w:val="22"/>
          <w:lang w:eastAsia="zh-TW"/>
        </w:rPr>
        <w:t xml:space="preserve"> S</w:t>
      </w:r>
      <w:r>
        <w:rPr>
          <w:b/>
          <w:bCs/>
          <w:sz w:val="22"/>
          <w:lang w:eastAsia="zh-TW"/>
        </w:rPr>
        <w:t xml:space="preserve">upport implicit configuration for grouping TCI states associated with a same TRP/serving cell. </w:t>
      </w:r>
    </w:p>
    <w:p w14:paraId="14903381" w14:textId="77777777" w:rsidR="000419EB" w:rsidRDefault="000419EB" w:rsidP="000419EB">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UL enhancement for inter-cell operation is to be discussed with lower priority. </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4BFD5953" w:rsidR="005A1AE5" w:rsidRDefault="00E129A0" w:rsidP="0018262E">
      <w:pPr>
        <w:widowControl w:val="0"/>
        <w:numPr>
          <w:ilvl w:val="0"/>
          <w:numId w:val="2"/>
        </w:numPr>
        <w:adjustRightInd w:val="0"/>
        <w:spacing w:after="0" w:line="360" w:lineRule="auto"/>
        <w:rPr>
          <w:rFonts w:eastAsia="MingLiU"/>
          <w:bCs/>
          <w:sz w:val="22"/>
          <w:szCs w:val="22"/>
          <w:lang w:eastAsia="zh-TW"/>
        </w:rPr>
      </w:pPr>
      <w:r w:rsidRPr="00E129A0">
        <w:rPr>
          <w:rFonts w:eastAsia="MingLiU"/>
          <w:bCs/>
          <w:sz w:val="22"/>
          <w:szCs w:val="22"/>
          <w:lang w:eastAsia="zh-TW"/>
        </w:rPr>
        <w:t>RP-193133</w:t>
      </w:r>
      <w:r>
        <w:rPr>
          <w:rFonts w:eastAsia="MingLiU"/>
          <w:bCs/>
          <w:sz w:val="22"/>
          <w:szCs w:val="22"/>
          <w:lang w:eastAsia="zh-TW"/>
        </w:rPr>
        <w:t xml:space="preserve"> </w:t>
      </w:r>
      <w:r w:rsidRPr="00E129A0">
        <w:rPr>
          <w:rFonts w:eastAsia="MingLiU"/>
          <w:bCs/>
          <w:sz w:val="22"/>
          <w:szCs w:val="22"/>
          <w:lang w:eastAsia="zh-TW"/>
        </w:rPr>
        <w:t>New WID: Further enhancements on MIMO for NR</w:t>
      </w:r>
      <w:r>
        <w:rPr>
          <w:rFonts w:eastAsia="MingLiU"/>
          <w:bCs/>
          <w:sz w:val="22"/>
          <w:szCs w:val="22"/>
          <w:lang w:eastAsia="zh-TW"/>
        </w:rPr>
        <w:t>, Samsung</w:t>
      </w:r>
      <w:r w:rsidR="00C769D9">
        <w:rPr>
          <w:rFonts w:eastAsia="MingLiU"/>
          <w:bCs/>
          <w:sz w:val="22"/>
          <w:szCs w:val="22"/>
          <w:lang w:eastAsia="zh-TW"/>
        </w:rPr>
        <w:t xml:space="preserve"> </w:t>
      </w:r>
    </w:p>
    <w:p w14:paraId="5158AB34" w14:textId="168A0BC7" w:rsidR="001910C3" w:rsidRDefault="001910C3" w:rsidP="0018262E">
      <w:pPr>
        <w:widowControl w:val="0"/>
        <w:numPr>
          <w:ilvl w:val="0"/>
          <w:numId w:val="2"/>
        </w:numPr>
        <w:adjustRightInd w:val="0"/>
        <w:spacing w:after="0" w:line="360" w:lineRule="auto"/>
        <w:rPr>
          <w:rFonts w:eastAsia="MingLiU"/>
          <w:bCs/>
          <w:sz w:val="22"/>
          <w:szCs w:val="22"/>
          <w:lang w:eastAsia="zh-TW"/>
        </w:rPr>
      </w:pPr>
      <w:r>
        <w:rPr>
          <w:rFonts w:eastAsia="MingLiU" w:hint="eastAsia"/>
          <w:bCs/>
          <w:sz w:val="22"/>
          <w:szCs w:val="22"/>
          <w:lang w:eastAsia="zh-TW"/>
        </w:rPr>
        <w:t>R</w:t>
      </w:r>
      <w:r>
        <w:rPr>
          <w:rFonts w:eastAsia="MingLiU"/>
          <w:bCs/>
          <w:sz w:val="22"/>
          <w:szCs w:val="22"/>
          <w:lang w:eastAsia="zh-TW"/>
        </w:rPr>
        <w:t>AN1 #102e Chairman’s Note</w:t>
      </w:r>
    </w:p>
    <w:p w14:paraId="48F29601" w14:textId="043B9FFE" w:rsidR="001910C3" w:rsidRPr="001910C3" w:rsidRDefault="001910C3" w:rsidP="001910C3">
      <w:pPr>
        <w:widowControl w:val="0"/>
        <w:numPr>
          <w:ilvl w:val="0"/>
          <w:numId w:val="2"/>
        </w:numPr>
        <w:adjustRightInd w:val="0"/>
        <w:spacing w:after="0" w:line="360" w:lineRule="auto"/>
        <w:rPr>
          <w:rFonts w:eastAsia="MingLiU"/>
          <w:bCs/>
          <w:sz w:val="22"/>
          <w:szCs w:val="22"/>
          <w:lang w:eastAsia="zh-TW"/>
        </w:rPr>
      </w:pPr>
      <w:r>
        <w:rPr>
          <w:rFonts w:eastAsia="MingLiU" w:hint="eastAsia"/>
          <w:bCs/>
          <w:sz w:val="22"/>
          <w:szCs w:val="22"/>
          <w:lang w:eastAsia="zh-TW"/>
        </w:rPr>
        <w:t>R</w:t>
      </w:r>
      <w:r>
        <w:rPr>
          <w:rFonts w:eastAsia="MingLiU"/>
          <w:bCs/>
          <w:sz w:val="22"/>
          <w:szCs w:val="22"/>
          <w:lang w:eastAsia="zh-TW"/>
        </w:rPr>
        <w:t>AN1 #103e Chairman’s Note</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8369B" w14:textId="77777777" w:rsidR="00257C9C" w:rsidRDefault="00257C9C">
      <w:r>
        <w:separator/>
      </w:r>
    </w:p>
  </w:endnote>
  <w:endnote w:type="continuationSeparator" w:id="0">
    <w:p w14:paraId="7EC57B2E" w14:textId="77777777" w:rsidR="00257C9C" w:rsidRDefault="0025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FCE6F" w14:textId="77777777" w:rsidR="00257C9C" w:rsidRDefault="00257C9C">
      <w:r>
        <w:separator/>
      </w:r>
    </w:p>
  </w:footnote>
  <w:footnote w:type="continuationSeparator" w:id="0">
    <w:p w14:paraId="2D6FB105" w14:textId="77777777" w:rsidR="00257C9C" w:rsidRDefault="0025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880684"/>
    <w:multiLevelType w:val="hybridMultilevel"/>
    <w:tmpl w:val="B548FA54"/>
    <w:lvl w:ilvl="0" w:tplc="942E1244">
      <w:start w:val="1"/>
      <w:numFmt w:val="decimal"/>
      <w:lvlText w:val="%1."/>
      <w:lvlJc w:val="left"/>
      <w:pPr>
        <w:tabs>
          <w:tab w:val="num" w:pos="397"/>
        </w:tabs>
        <w:ind w:left="397" w:hanging="397"/>
      </w:pPr>
      <w:rPr>
        <w:rFonts w:hint="eastAsia"/>
        <w:sz w:val="32"/>
      </w:rPr>
    </w:lvl>
    <w:lvl w:ilvl="1" w:tplc="C3D8C114">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B3F28"/>
    <w:multiLevelType w:val="hybridMultilevel"/>
    <w:tmpl w:val="1E40F98C"/>
    <w:lvl w:ilvl="0" w:tplc="6B24AD62">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2AB53DB"/>
    <w:multiLevelType w:val="hybridMultilevel"/>
    <w:tmpl w:val="480E91AA"/>
    <w:lvl w:ilvl="0" w:tplc="225EDB1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5"/>
  </w:num>
  <w:num w:numId="6">
    <w:abstractNumId w:val="7"/>
  </w:num>
  <w:num w:numId="7">
    <w:abstractNumId w:val="0"/>
  </w:num>
  <w:num w:numId="8">
    <w:abstractNumId w:val="1"/>
  </w:num>
  <w:num w:numId="9">
    <w:abstractNumId w:val="10"/>
  </w:num>
  <w:num w:numId="10">
    <w:abstractNumId w:val="4"/>
  </w:num>
  <w:num w:numId="11">
    <w:abstractNumId w:val="4"/>
  </w:num>
  <w:num w:numId="12">
    <w:abstractNumId w:val="9"/>
  </w:num>
  <w:num w:numId="13">
    <w:abstractNumId w:val="11"/>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16364"/>
    <w:rsid w:val="000166AD"/>
    <w:rsid w:val="00017EF9"/>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563"/>
    <w:rsid w:val="000419EB"/>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BD3"/>
    <w:rsid w:val="000E1DAE"/>
    <w:rsid w:val="000E1DBA"/>
    <w:rsid w:val="000E287E"/>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0C40"/>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62E"/>
    <w:rsid w:val="00182FBB"/>
    <w:rsid w:val="00182FF9"/>
    <w:rsid w:val="00183525"/>
    <w:rsid w:val="00185528"/>
    <w:rsid w:val="00185CE4"/>
    <w:rsid w:val="001865D9"/>
    <w:rsid w:val="00187912"/>
    <w:rsid w:val="00187F32"/>
    <w:rsid w:val="00190AEE"/>
    <w:rsid w:val="001910C3"/>
    <w:rsid w:val="00192DA1"/>
    <w:rsid w:val="00193FAE"/>
    <w:rsid w:val="00194203"/>
    <w:rsid w:val="0019467D"/>
    <w:rsid w:val="001951F5"/>
    <w:rsid w:val="0019557A"/>
    <w:rsid w:val="00195B8E"/>
    <w:rsid w:val="00195F10"/>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537B"/>
    <w:rsid w:val="001D68AC"/>
    <w:rsid w:val="001D7140"/>
    <w:rsid w:val="001D7242"/>
    <w:rsid w:val="001D7FDA"/>
    <w:rsid w:val="001E0ABD"/>
    <w:rsid w:val="001E1247"/>
    <w:rsid w:val="001E1699"/>
    <w:rsid w:val="001E1ADB"/>
    <w:rsid w:val="001E250A"/>
    <w:rsid w:val="001E2694"/>
    <w:rsid w:val="001E3235"/>
    <w:rsid w:val="001E3E71"/>
    <w:rsid w:val="001E3F4C"/>
    <w:rsid w:val="001E425B"/>
    <w:rsid w:val="001E4FAB"/>
    <w:rsid w:val="001E553B"/>
    <w:rsid w:val="001E58A2"/>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54E4"/>
    <w:rsid w:val="00246449"/>
    <w:rsid w:val="00246791"/>
    <w:rsid w:val="002468A9"/>
    <w:rsid w:val="00246CAE"/>
    <w:rsid w:val="00247241"/>
    <w:rsid w:val="00247A2F"/>
    <w:rsid w:val="00247C61"/>
    <w:rsid w:val="00253414"/>
    <w:rsid w:val="002545B3"/>
    <w:rsid w:val="00255212"/>
    <w:rsid w:val="0025634E"/>
    <w:rsid w:val="002567BD"/>
    <w:rsid w:val="00257037"/>
    <w:rsid w:val="002579CF"/>
    <w:rsid w:val="00257C9C"/>
    <w:rsid w:val="002614DA"/>
    <w:rsid w:val="002618ED"/>
    <w:rsid w:val="00261FC4"/>
    <w:rsid w:val="00263191"/>
    <w:rsid w:val="002631AA"/>
    <w:rsid w:val="0026403A"/>
    <w:rsid w:val="00264375"/>
    <w:rsid w:val="0026481A"/>
    <w:rsid w:val="00265239"/>
    <w:rsid w:val="00265282"/>
    <w:rsid w:val="0026695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BE"/>
    <w:rsid w:val="002857E6"/>
    <w:rsid w:val="00285870"/>
    <w:rsid w:val="00286793"/>
    <w:rsid w:val="00287ACB"/>
    <w:rsid w:val="00287FB9"/>
    <w:rsid w:val="00290510"/>
    <w:rsid w:val="00291450"/>
    <w:rsid w:val="00291A8B"/>
    <w:rsid w:val="00292787"/>
    <w:rsid w:val="00292EB8"/>
    <w:rsid w:val="00293087"/>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102C"/>
    <w:rsid w:val="002E20B2"/>
    <w:rsid w:val="002E252C"/>
    <w:rsid w:val="002E3EDD"/>
    <w:rsid w:val="002E4042"/>
    <w:rsid w:val="002E52FB"/>
    <w:rsid w:val="002E54DF"/>
    <w:rsid w:val="002E5E2F"/>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748"/>
    <w:rsid w:val="00302B6D"/>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24C"/>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368A"/>
    <w:rsid w:val="00353771"/>
    <w:rsid w:val="0035402E"/>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582"/>
    <w:rsid w:val="00377F35"/>
    <w:rsid w:val="0038143D"/>
    <w:rsid w:val="00382BF0"/>
    <w:rsid w:val="0038478C"/>
    <w:rsid w:val="00384E55"/>
    <w:rsid w:val="00385DD6"/>
    <w:rsid w:val="0038698F"/>
    <w:rsid w:val="003873E4"/>
    <w:rsid w:val="00387B61"/>
    <w:rsid w:val="00387DA7"/>
    <w:rsid w:val="003900F8"/>
    <w:rsid w:val="00391943"/>
    <w:rsid w:val="00392741"/>
    <w:rsid w:val="003929C5"/>
    <w:rsid w:val="00393469"/>
    <w:rsid w:val="00393D96"/>
    <w:rsid w:val="00395003"/>
    <w:rsid w:val="003952B2"/>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154"/>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C5E"/>
    <w:rsid w:val="00424F6B"/>
    <w:rsid w:val="00425BD9"/>
    <w:rsid w:val="00425C91"/>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4CDF"/>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584D"/>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D97"/>
    <w:rsid w:val="005331B4"/>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2600"/>
    <w:rsid w:val="005531B6"/>
    <w:rsid w:val="0055337A"/>
    <w:rsid w:val="005551A8"/>
    <w:rsid w:val="00555E65"/>
    <w:rsid w:val="00557770"/>
    <w:rsid w:val="00557B62"/>
    <w:rsid w:val="00557DEC"/>
    <w:rsid w:val="00560076"/>
    <w:rsid w:val="0056011C"/>
    <w:rsid w:val="005613C6"/>
    <w:rsid w:val="00562223"/>
    <w:rsid w:val="005626CB"/>
    <w:rsid w:val="005628ED"/>
    <w:rsid w:val="0056352D"/>
    <w:rsid w:val="005636C2"/>
    <w:rsid w:val="0056479D"/>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00C"/>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6A7B"/>
    <w:rsid w:val="005E7A6F"/>
    <w:rsid w:val="005F0A05"/>
    <w:rsid w:val="005F2797"/>
    <w:rsid w:val="005F2F29"/>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4DC9"/>
    <w:rsid w:val="00605285"/>
    <w:rsid w:val="006055AC"/>
    <w:rsid w:val="00605BD6"/>
    <w:rsid w:val="00605E0C"/>
    <w:rsid w:val="00607E05"/>
    <w:rsid w:val="0061097A"/>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28EA"/>
    <w:rsid w:val="006344FA"/>
    <w:rsid w:val="00634CC2"/>
    <w:rsid w:val="00635B67"/>
    <w:rsid w:val="0063672A"/>
    <w:rsid w:val="0063699D"/>
    <w:rsid w:val="00636C21"/>
    <w:rsid w:val="00636C9C"/>
    <w:rsid w:val="00637374"/>
    <w:rsid w:val="00640839"/>
    <w:rsid w:val="00640A61"/>
    <w:rsid w:val="00641688"/>
    <w:rsid w:val="00641813"/>
    <w:rsid w:val="0064186E"/>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5BF"/>
    <w:rsid w:val="00675294"/>
    <w:rsid w:val="006754D1"/>
    <w:rsid w:val="00675747"/>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8E1"/>
    <w:rsid w:val="00696AE6"/>
    <w:rsid w:val="00696C60"/>
    <w:rsid w:val="00696CC1"/>
    <w:rsid w:val="00697D5F"/>
    <w:rsid w:val="00697FA6"/>
    <w:rsid w:val="006A03A4"/>
    <w:rsid w:val="006A0554"/>
    <w:rsid w:val="006A0C37"/>
    <w:rsid w:val="006A150A"/>
    <w:rsid w:val="006A247E"/>
    <w:rsid w:val="006A3D8D"/>
    <w:rsid w:val="006A3FC7"/>
    <w:rsid w:val="006A4460"/>
    <w:rsid w:val="006A4E8E"/>
    <w:rsid w:val="006A4EDD"/>
    <w:rsid w:val="006A73C0"/>
    <w:rsid w:val="006A7692"/>
    <w:rsid w:val="006B012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425"/>
    <w:rsid w:val="006E34E0"/>
    <w:rsid w:val="006E35B7"/>
    <w:rsid w:val="006E3724"/>
    <w:rsid w:val="006E3FBB"/>
    <w:rsid w:val="006E4200"/>
    <w:rsid w:val="006E57D7"/>
    <w:rsid w:val="006E5EC5"/>
    <w:rsid w:val="006E62CC"/>
    <w:rsid w:val="006E6F9A"/>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301"/>
    <w:rsid w:val="007219AB"/>
    <w:rsid w:val="00721EF5"/>
    <w:rsid w:val="007226E8"/>
    <w:rsid w:val="00723B06"/>
    <w:rsid w:val="00723BE3"/>
    <w:rsid w:val="00725E31"/>
    <w:rsid w:val="00725F73"/>
    <w:rsid w:val="00726624"/>
    <w:rsid w:val="00726C88"/>
    <w:rsid w:val="00727097"/>
    <w:rsid w:val="00730A77"/>
    <w:rsid w:val="00730B05"/>
    <w:rsid w:val="00732227"/>
    <w:rsid w:val="00733302"/>
    <w:rsid w:val="00733A95"/>
    <w:rsid w:val="00735A02"/>
    <w:rsid w:val="00735B2F"/>
    <w:rsid w:val="00735BE6"/>
    <w:rsid w:val="00735F34"/>
    <w:rsid w:val="007365AD"/>
    <w:rsid w:val="0073784C"/>
    <w:rsid w:val="00737E54"/>
    <w:rsid w:val="00740339"/>
    <w:rsid w:val="00741CF9"/>
    <w:rsid w:val="00741E92"/>
    <w:rsid w:val="00742AF7"/>
    <w:rsid w:val="00744BB1"/>
    <w:rsid w:val="00745328"/>
    <w:rsid w:val="0074558E"/>
    <w:rsid w:val="00745CE2"/>
    <w:rsid w:val="00746124"/>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C023F"/>
    <w:rsid w:val="007C03FB"/>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4C4F"/>
    <w:rsid w:val="007E661C"/>
    <w:rsid w:val="007E6B15"/>
    <w:rsid w:val="007E6BC6"/>
    <w:rsid w:val="007E6C6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956"/>
    <w:rsid w:val="00806AF6"/>
    <w:rsid w:val="0080718E"/>
    <w:rsid w:val="0080759B"/>
    <w:rsid w:val="00807747"/>
    <w:rsid w:val="00807D2E"/>
    <w:rsid w:val="0081021F"/>
    <w:rsid w:val="0081113C"/>
    <w:rsid w:val="00811BCE"/>
    <w:rsid w:val="00813CE7"/>
    <w:rsid w:val="00814600"/>
    <w:rsid w:val="008152F9"/>
    <w:rsid w:val="00817C90"/>
    <w:rsid w:val="00817F53"/>
    <w:rsid w:val="00820821"/>
    <w:rsid w:val="00820C0A"/>
    <w:rsid w:val="00822A85"/>
    <w:rsid w:val="0082309A"/>
    <w:rsid w:val="008235FD"/>
    <w:rsid w:val="0082372E"/>
    <w:rsid w:val="00823CB8"/>
    <w:rsid w:val="0082466E"/>
    <w:rsid w:val="00825862"/>
    <w:rsid w:val="00825981"/>
    <w:rsid w:val="00826614"/>
    <w:rsid w:val="00827B76"/>
    <w:rsid w:val="0083013F"/>
    <w:rsid w:val="00831580"/>
    <w:rsid w:val="00832166"/>
    <w:rsid w:val="00834D69"/>
    <w:rsid w:val="00835122"/>
    <w:rsid w:val="00835B3D"/>
    <w:rsid w:val="00836042"/>
    <w:rsid w:val="00836CCF"/>
    <w:rsid w:val="00836DF6"/>
    <w:rsid w:val="00841BA5"/>
    <w:rsid w:val="00842874"/>
    <w:rsid w:val="00843F64"/>
    <w:rsid w:val="00844B02"/>
    <w:rsid w:val="00845E0C"/>
    <w:rsid w:val="00846987"/>
    <w:rsid w:val="008471CF"/>
    <w:rsid w:val="00847B88"/>
    <w:rsid w:val="00850B89"/>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3B37"/>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5511"/>
    <w:rsid w:val="008D5BCB"/>
    <w:rsid w:val="008D69A4"/>
    <w:rsid w:val="008D6F18"/>
    <w:rsid w:val="008D70EF"/>
    <w:rsid w:val="008D729F"/>
    <w:rsid w:val="008D72F9"/>
    <w:rsid w:val="008E0BEA"/>
    <w:rsid w:val="008E0DC3"/>
    <w:rsid w:val="008E121C"/>
    <w:rsid w:val="008E3374"/>
    <w:rsid w:val="008E36C2"/>
    <w:rsid w:val="008E3E07"/>
    <w:rsid w:val="008E4D15"/>
    <w:rsid w:val="008E4F0D"/>
    <w:rsid w:val="008E538E"/>
    <w:rsid w:val="008E53D3"/>
    <w:rsid w:val="008E5626"/>
    <w:rsid w:val="008E658A"/>
    <w:rsid w:val="008E6D33"/>
    <w:rsid w:val="008E6FD4"/>
    <w:rsid w:val="008E75DA"/>
    <w:rsid w:val="008E7C5C"/>
    <w:rsid w:val="008F03B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31F"/>
    <w:rsid w:val="009115DC"/>
    <w:rsid w:val="00912CD6"/>
    <w:rsid w:val="009130A8"/>
    <w:rsid w:val="00913ED1"/>
    <w:rsid w:val="009141CE"/>
    <w:rsid w:val="009156D5"/>
    <w:rsid w:val="00915CA7"/>
    <w:rsid w:val="009170B9"/>
    <w:rsid w:val="00917302"/>
    <w:rsid w:val="00917331"/>
    <w:rsid w:val="0091744F"/>
    <w:rsid w:val="009200CF"/>
    <w:rsid w:val="009204D0"/>
    <w:rsid w:val="00920DD8"/>
    <w:rsid w:val="0092134B"/>
    <w:rsid w:val="009219DD"/>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6B67"/>
    <w:rsid w:val="00957067"/>
    <w:rsid w:val="009572A7"/>
    <w:rsid w:val="009576B0"/>
    <w:rsid w:val="00957E1A"/>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5A01"/>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DEB"/>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F25"/>
    <w:rsid w:val="009D029E"/>
    <w:rsid w:val="009D0C5E"/>
    <w:rsid w:val="009D13A9"/>
    <w:rsid w:val="009D2C7A"/>
    <w:rsid w:val="009D31A7"/>
    <w:rsid w:val="009D44A7"/>
    <w:rsid w:val="009D46C5"/>
    <w:rsid w:val="009D47B6"/>
    <w:rsid w:val="009D51AF"/>
    <w:rsid w:val="009D57E7"/>
    <w:rsid w:val="009D5E29"/>
    <w:rsid w:val="009D6291"/>
    <w:rsid w:val="009D65C3"/>
    <w:rsid w:val="009D65FB"/>
    <w:rsid w:val="009D6B84"/>
    <w:rsid w:val="009D715C"/>
    <w:rsid w:val="009D7465"/>
    <w:rsid w:val="009D79D6"/>
    <w:rsid w:val="009D7EA5"/>
    <w:rsid w:val="009E0A97"/>
    <w:rsid w:val="009E0DAB"/>
    <w:rsid w:val="009E149F"/>
    <w:rsid w:val="009E2802"/>
    <w:rsid w:val="009E286C"/>
    <w:rsid w:val="009E2AF7"/>
    <w:rsid w:val="009E3463"/>
    <w:rsid w:val="009E3FE9"/>
    <w:rsid w:val="009E442A"/>
    <w:rsid w:val="009E4770"/>
    <w:rsid w:val="009E4B14"/>
    <w:rsid w:val="009E505B"/>
    <w:rsid w:val="009E6300"/>
    <w:rsid w:val="009E63FC"/>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71F7"/>
    <w:rsid w:val="00A2737B"/>
    <w:rsid w:val="00A30CD0"/>
    <w:rsid w:val="00A312D6"/>
    <w:rsid w:val="00A315F4"/>
    <w:rsid w:val="00A31793"/>
    <w:rsid w:val="00A322D2"/>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D22"/>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3C03"/>
    <w:rsid w:val="00A7467E"/>
    <w:rsid w:val="00A7540D"/>
    <w:rsid w:val="00A76E2B"/>
    <w:rsid w:val="00A77592"/>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5407"/>
    <w:rsid w:val="00AB59F0"/>
    <w:rsid w:val="00AB5F26"/>
    <w:rsid w:val="00AB75E9"/>
    <w:rsid w:val="00AB762B"/>
    <w:rsid w:val="00AC0A34"/>
    <w:rsid w:val="00AC12DD"/>
    <w:rsid w:val="00AC2EAA"/>
    <w:rsid w:val="00AC3AEE"/>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3B2E"/>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AF6BC7"/>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E0B"/>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9A3"/>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74DF"/>
    <w:rsid w:val="00BA76A1"/>
    <w:rsid w:val="00BA78CC"/>
    <w:rsid w:val="00BA7A21"/>
    <w:rsid w:val="00BB03B7"/>
    <w:rsid w:val="00BB081A"/>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6E93"/>
    <w:rsid w:val="00BC7839"/>
    <w:rsid w:val="00BD0D7C"/>
    <w:rsid w:val="00BD1047"/>
    <w:rsid w:val="00BD19C7"/>
    <w:rsid w:val="00BD1FE8"/>
    <w:rsid w:val="00BD2571"/>
    <w:rsid w:val="00BD297E"/>
    <w:rsid w:val="00BD32B9"/>
    <w:rsid w:val="00BD3F59"/>
    <w:rsid w:val="00BD46C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0946"/>
    <w:rsid w:val="00C214E6"/>
    <w:rsid w:val="00C221A4"/>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65D"/>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66F"/>
    <w:rsid w:val="00C658DB"/>
    <w:rsid w:val="00C65FBE"/>
    <w:rsid w:val="00C6635E"/>
    <w:rsid w:val="00C66683"/>
    <w:rsid w:val="00C67F70"/>
    <w:rsid w:val="00C7055B"/>
    <w:rsid w:val="00C70573"/>
    <w:rsid w:val="00C706F9"/>
    <w:rsid w:val="00C709AD"/>
    <w:rsid w:val="00C7209C"/>
    <w:rsid w:val="00C723E1"/>
    <w:rsid w:val="00C7385B"/>
    <w:rsid w:val="00C74C71"/>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63D7"/>
    <w:rsid w:val="00CC6775"/>
    <w:rsid w:val="00CC6C32"/>
    <w:rsid w:val="00CC6D39"/>
    <w:rsid w:val="00CC75F3"/>
    <w:rsid w:val="00CD0532"/>
    <w:rsid w:val="00CD0A0C"/>
    <w:rsid w:val="00CD1965"/>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2F07"/>
    <w:rsid w:val="00D03134"/>
    <w:rsid w:val="00D0343E"/>
    <w:rsid w:val="00D039A3"/>
    <w:rsid w:val="00D03CD2"/>
    <w:rsid w:val="00D03D25"/>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D38"/>
    <w:rsid w:val="00D14F42"/>
    <w:rsid w:val="00D15291"/>
    <w:rsid w:val="00D158C1"/>
    <w:rsid w:val="00D15CA8"/>
    <w:rsid w:val="00D15E29"/>
    <w:rsid w:val="00D167A2"/>
    <w:rsid w:val="00D167A4"/>
    <w:rsid w:val="00D16C0A"/>
    <w:rsid w:val="00D1710B"/>
    <w:rsid w:val="00D17231"/>
    <w:rsid w:val="00D17F7C"/>
    <w:rsid w:val="00D200D7"/>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4C8B"/>
    <w:rsid w:val="00D3522C"/>
    <w:rsid w:val="00D3546D"/>
    <w:rsid w:val="00D35BF7"/>
    <w:rsid w:val="00D36DC3"/>
    <w:rsid w:val="00D4024F"/>
    <w:rsid w:val="00D40954"/>
    <w:rsid w:val="00D4103C"/>
    <w:rsid w:val="00D41354"/>
    <w:rsid w:val="00D413E2"/>
    <w:rsid w:val="00D4163E"/>
    <w:rsid w:val="00D41EF4"/>
    <w:rsid w:val="00D4336B"/>
    <w:rsid w:val="00D4418A"/>
    <w:rsid w:val="00D446E3"/>
    <w:rsid w:val="00D45358"/>
    <w:rsid w:val="00D4554C"/>
    <w:rsid w:val="00D45CA1"/>
    <w:rsid w:val="00D4605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57A"/>
    <w:rsid w:val="00D7497B"/>
    <w:rsid w:val="00D75014"/>
    <w:rsid w:val="00D7507E"/>
    <w:rsid w:val="00D754EA"/>
    <w:rsid w:val="00D76AF3"/>
    <w:rsid w:val="00D76DD4"/>
    <w:rsid w:val="00D76F34"/>
    <w:rsid w:val="00D77569"/>
    <w:rsid w:val="00D77D91"/>
    <w:rsid w:val="00D77F76"/>
    <w:rsid w:val="00D80DDF"/>
    <w:rsid w:val="00D80E76"/>
    <w:rsid w:val="00D8103B"/>
    <w:rsid w:val="00D81F62"/>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5CF"/>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BC2"/>
    <w:rsid w:val="00DC7CE4"/>
    <w:rsid w:val="00DC7EBC"/>
    <w:rsid w:val="00DD0BD3"/>
    <w:rsid w:val="00DD1872"/>
    <w:rsid w:val="00DD2717"/>
    <w:rsid w:val="00DD272C"/>
    <w:rsid w:val="00DD2B56"/>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2CB"/>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347F"/>
    <w:rsid w:val="00E93655"/>
    <w:rsid w:val="00E9462A"/>
    <w:rsid w:val="00E94723"/>
    <w:rsid w:val="00E94DF6"/>
    <w:rsid w:val="00E94EA5"/>
    <w:rsid w:val="00E951B0"/>
    <w:rsid w:val="00E95262"/>
    <w:rsid w:val="00E969A6"/>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35DB"/>
    <w:rsid w:val="00EB37D0"/>
    <w:rsid w:val="00EB3956"/>
    <w:rsid w:val="00EB43CD"/>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EB1"/>
    <w:rsid w:val="00EC537C"/>
    <w:rsid w:val="00EC7406"/>
    <w:rsid w:val="00EC7B65"/>
    <w:rsid w:val="00ED01CE"/>
    <w:rsid w:val="00ED1744"/>
    <w:rsid w:val="00ED1B40"/>
    <w:rsid w:val="00ED2A1B"/>
    <w:rsid w:val="00ED2CEE"/>
    <w:rsid w:val="00ED2FD4"/>
    <w:rsid w:val="00ED37C6"/>
    <w:rsid w:val="00ED37CA"/>
    <w:rsid w:val="00ED39E3"/>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60A3"/>
    <w:rsid w:val="00F604AA"/>
    <w:rsid w:val="00F604FB"/>
    <w:rsid w:val="00F60D47"/>
    <w:rsid w:val="00F61D8B"/>
    <w:rsid w:val="00F62316"/>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530"/>
    <w:rsid w:val="00F876DB"/>
    <w:rsid w:val="00F917C4"/>
    <w:rsid w:val="00F91A94"/>
    <w:rsid w:val="00F93162"/>
    <w:rsid w:val="00F9495D"/>
    <w:rsid w:val="00F952BB"/>
    <w:rsid w:val="00F96A98"/>
    <w:rsid w:val="00F976C9"/>
    <w:rsid w:val="00F97878"/>
    <w:rsid w:val="00FA05AB"/>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3483"/>
    <w:rsid w:val="00FD3E3C"/>
    <w:rsid w:val="00FD4F04"/>
    <w:rsid w:val="00FD507F"/>
    <w:rsid w:val="00FD54F4"/>
    <w:rsid w:val="00FD5506"/>
    <w:rsid w:val="00FD570C"/>
    <w:rsid w:val="00FD75D4"/>
    <w:rsid w:val="00FE0204"/>
    <w:rsid w:val="00FE0888"/>
    <w:rsid w:val="00FE125D"/>
    <w:rsid w:val="00FE1CEA"/>
    <w:rsid w:val="00FE348B"/>
    <w:rsid w:val="00FE3732"/>
    <w:rsid w:val="00FE4118"/>
    <w:rsid w:val="00FE4186"/>
    <w:rsid w:val="00FE478E"/>
    <w:rsid w:val="00FE47D7"/>
    <w:rsid w:val="00FE4BCA"/>
    <w:rsid w:val="00FE4DA7"/>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B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3</cp:revision>
  <dcterms:created xsi:type="dcterms:W3CDTF">2021-01-19T06:08:00Z</dcterms:created>
  <dcterms:modified xsi:type="dcterms:W3CDTF">2021-01-19T06:09:00Z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